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461553" w:displacedByCustomXml="next"/>
    <w:bookmarkStart w:id="1" w:name="_Toc34924315" w:displacedByCustomXml="next"/>
    <w:sdt>
      <w:sdtPr>
        <w:rPr>
          <w:color w:val="FFFFFF" w:themeColor="background1"/>
        </w:rPr>
        <w:alias w:val="Title"/>
        <w:tag w:val=""/>
        <w:id w:val="-702250857"/>
        <w:placeholder>
          <w:docPart w:val="434E3569320D40E083285BADE8D7555A"/>
        </w:placeholder>
        <w:dataBinding w:prefixMappings="xmlns:ns0='http://purl.org/dc/elements/1.1/' xmlns:ns1='http://schemas.openxmlformats.org/package/2006/metadata/core-properties' " w:xpath="/ns1:coreProperties[1]/ns0:title[1]" w:storeItemID="{6C3C8BC8-F283-45AE-878A-BAB7291924A1}"/>
        <w:text/>
      </w:sdtPr>
      <w:sdtEndPr/>
      <w:sdtContent>
        <w:p w14:paraId="32257317" w14:textId="35D0D4EA" w:rsidR="005D073E" w:rsidRPr="005D073E" w:rsidRDefault="004338F6" w:rsidP="005D073E">
          <w:pPr>
            <w:pStyle w:val="Title"/>
          </w:pPr>
          <w:r>
            <w:rPr>
              <w:color w:val="FFFFFF" w:themeColor="background1"/>
            </w:rPr>
            <w:t>2022 FEDERAL BUDGET SUMMARY</w:t>
          </w:r>
        </w:p>
      </w:sdtContent>
    </w:sdt>
    <w:bookmarkEnd w:id="1"/>
    <w:bookmarkEnd w:id="0"/>
    <w:p w14:paraId="6751AAE8" w14:textId="199EB534" w:rsidR="00593A3B" w:rsidRDefault="004338C9" w:rsidP="00593A3B">
      <w:pPr>
        <w:pStyle w:val="Header1"/>
      </w:pPr>
      <w:r>
        <w:rPr>
          <w:noProof/>
        </w:rPr>
        <mc:AlternateContent>
          <mc:Choice Requires="wps">
            <w:drawing>
              <wp:anchor distT="0" distB="0" distL="114300" distR="114300" simplePos="0" relativeHeight="251658752" behindDoc="1" locked="0" layoutInCell="1" allowOverlap="1" wp14:anchorId="789A4DD3" wp14:editId="523DB80F">
                <wp:simplePos x="0" y="0"/>
                <wp:positionH relativeFrom="page">
                  <wp:align>right</wp:align>
                </wp:positionH>
                <wp:positionV relativeFrom="paragraph">
                  <wp:posOffset>-899160</wp:posOffset>
                </wp:positionV>
                <wp:extent cx="7558088" cy="981075"/>
                <wp:effectExtent l="0" t="0" r="5080" b="9525"/>
                <wp:wrapNone/>
                <wp:docPr id="2" name="Rectangle 2"/>
                <wp:cNvGraphicFramePr/>
                <a:graphic xmlns:a="http://schemas.openxmlformats.org/drawingml/2006/main">
                  <a:graphicData uri="http://schemas.microsoft.com/office/word/2010/wordprocessingShape">
                    <wps:wsp>
                      <wps:cNvSpPr/>
                      <wps:spPr>
                        <a:xfrm>
                          <a:off x="0" y="0"/>
                          <a:ext cx="7558088" cy="981075"/>
                        </a:xfrm>
                        <a:prstGeom prst="rect">
                          <a:avLst/>
                        </a:pr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A81B4" id="Rectangle 2" o:spid="_x0000_s1026" style="position:absolute;margin-left:543.95pt;margin-top:-70.8pt;width:595.15pt;height:77.25pt;z-index:-25165772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" fillcolor="#28a0bf [3205]" stroked="f" strokeweight="1pt">
                <v:fill opacity="46003f"/>
                <w10:wrap anchorx="page"/>
              </v:rect>
            </w:pict>
          </mc:Fallback>
        </mc:AlternateContent>
      </w:r>
    </w:p>
    <w:p w14:paraId="3F0E2E6E" w14:textId="77777777" w:rsidR="00202458" w:rsidRDefault="00202458" w:rsidP="00A93AB1">
      <w:pPr>
        <w:pStyle w:val="Header1"/>
        <w:spacing w:before="0" w:after="120" w:line="360" w:lineRule="auto"/>
      </w:pPr>
      <w:r>
        <w:t>Introduction</w:t>
      </w:r>
    </w:p>
    <w:p w14:paraId="48363DD3" w14:textId="7A8610E0" w:rsidR="00202458" w:rsidRPr="00104492" w:rsidRDefault="00202458" w:rsidP="00A93AB1">
      <w:pPr>
        <w:spacing w:before="0" w:line="360" w:lineRule="auto"/>
      </w:pPr>
      <w:r w:rsidRPr="00104492">
        <w:t>The 2022 Budget, brought down on 29 March - 6 week</w:t>
      </w:r>
      <w:r w:rsidR="00037694" w:rsidRPr="00104492">
        <w:t>s</w:t>
      </w:r>
      <w:r w:rsidRPr="00104492">
        <w:t xml:space="preserve"> earlier than normal, is the last Budget before the next Federal Election is due to be held. The latest date for the election is 21 May 2022. </w:t>
      </w:r>
    </w:p>
    <w:p w14:paraId="41CB2DFF" w14:textId="77777777" w:rsidR="00E93754" w:rsidRPr="00104492" w:rsidRDefault="00E93754" w:rsidP="00A93AB1">
      <w:pPr>
        <w:spacing w:before="0" w:line="360" w:lineRule="auto"/>
      </w:pPr>
    </w:p>
    <w:p w14:paraId="691D1E3B" w14:textId="57C63008" w:rsidR="00202458" w:rsidRPr="00104492" w:rsidRDefault="00202458" w:rsidP="00A93AB1">
      <w:pPr>
        <w:spacing w:before="0" w:line="360" w:lineRule="auto"/>
      </w:pPr>
      <w:r w:rsidRPr="00104492">
        <w:t>Compared to past year</w:t>
      </w:r>
      <w:r w:rsidR="00C97AD5" w:rsidRPr="00104492">
        <w:t>s</w:t>
      </w:r>
      <w:r w:rsidRPr="00104492">
        <w:t>, this year’s Budget is a little bland however</w:t>
      </w:r>
      <w:r w:rsidR="00D860EE" w:rsidRPr="00104492">
        <w:t>,</w:t>
      </w:r>
      <w:r w:rsidRPr="00104492">
        <w:t xml:space="preserve"> it does include some </w:t>
      </w:r>
      <w:r w:rsidR="00960217" w:rsidRPr="00104492">
        <w:t>‘</w:t>
      </w:r>
      <w:r w:rsidRPr="00104492">
        <w:t xml:space="preserve">sweeteners’ to keep the electorate favourably disposed toward the incumbent </w:t>
      </w:r>
      <w:r w:rsidR="00925749" w:rsidRPr="00104492">
        <w:t>G</w:t>
      </w:r>
      <w:r w:rsidRPr="00104492">
        <w:t xml:space="preserve">overnment, come election day. </w:t>
      </w:r>
    </w:p>
    <w:p w14:paraId="4BEDE8F3" w14:textId="77777777" w:rsidR="00E93754" w:rsidRPr="00104492" w:rsidRDefault="00E93754" w:rsidP="00A93AB1">
      <w:pPr>
        <w:spacing w:before="0" w:line="360" w:lineRule="auto"/>
      </w:pPr>
    </w:p>
    <w:p w14:paraId="23594CAF" w14:textId="47654C47" w:rsidR="5E9748FA" w:rsidRPr="00104492" w:rsidRDefault="5E9748FA" w:rsidP="00A93AB1">
      <w:pPr>
        <w:spacing w:before="0" w:line="360" w:lineRule="auto"/>
        <w:rPr>
          <w:szCs w:val="20"/>
        </w:rPr>
      </w:pPr>
      <w:r w:rsidRPr="00104492">
        <w:rPr>
          <w:szCs w:val="20"/>
        </w:rPr>
        <w:t xml:space="preserve">It goes without saying the measures announced in the Budget are not a </w:t>
      </w:r>
      <w:r w:rsidRPr="00104492">
        <w:rPr>
          <w:i/>
          <w:iCs/>
          <w:szCs w:val="20"/>
        </w:rPr>
        <w:t>fait accompli.</w:t>
      </w:r>
      <w:r w:rsidRPr="00104492">
        <w:rPr>
          <w:szCs w:val="20"/>
        </w:rPr>
        <w:t xml:space="preserve"> In many cases</w:t>
      </w:r>
      <w:r w:rsidR="000A4069" w:rsidRPr="00104492">
        <w:rPr>
          <w:szCs w:val="20"/>
        </w:rPr>
        <w:t>,</w:t>
      </w:r>
      <w:r w:rsidRPr="00104492">
        <w:rPr>
          <w:szCs w:val="20"/>
        </w:rPr>
        <w:t xml:space="preserve"> legislation will need to be passed, and that will not occur until after the election. And this also assumes that the current Government will be returned to form the 47</w:t>
      </w:r>
      <w:r w:rsidRPr="00104492">
        <w:rPr>
          <w:szCs w:val="20"/>
          <w:vertAlign w:val="superscript"/>
        </w:rPr>
        <w:t>th</w:t>
      </w:r>
      <w:r w:rsidRPr="00104492">
        <w:rPr>
          <w:szCs w:val="20"/>
        </w:rPr>
        <w:t xml:space="preserve"> Australian Parliament</w:t>
      </w:r>
      <w:r w:rsidR="00655466" w:rsidRPr="00104492">
        <w:rPr>
          <w:szCs w:val="20"/>
        </w:rPr>
        <w:t xml:space="preserve">. </w:t>
      </w:r>
    </w:p>
    <w:p w14:paraId="4C57543B" w14:textId="77777777" w:rsidR="000A79F3" w:rsidRDefault="000A79F3" w:rsidP="00A93AB1">
      <w:pPr>
        <w:spacing w:before="0" w:line="360" w:lineRule="auto"/>
        <w:rPr>
          <w:szCs w:val="20"/>
        </w:rPr>
      </w:pPr>
    </w:p>
    <w:p w14:paraId="0C718C82" w14:textId="4D47435C" w:rsidR="000A79F3" w:rsidRDefault="5081AFB6" w:rsidP="00A93AB1">
      <w:pPr>
        <w:spacing w:before="0" w:after="120" w:line="360" w:lineRule="auto"/>
        <w:rPr>
          <w:rFonts w:ascii="Arial" w:eastAsia="Arial" w:hAnsi="Arial" w:cs="Arial"/>
          <w:b/>
          <w:bCs/>
          <w:caps/>
          <w:color w:val="1ED1E6"/>
          <w:sz w:val="24"/>
          <w:szCs w:val="24"/>
        </w:rPr>
      </w:pPr>
      <w:r w:rsidRPr="224CC3C5">
        <w:rPr>
          <w:rFonts w:ascii="Arial" w:eastAsia="Arial" w:hAnsi="Arial" w:cs="Arial"/>
          <w:b/>
          <w:bCs/>
          <w:caps/>
          <w:color w:val="1ED1E6"/>
          <w:sz w:val="24"/>
          <w:szCs w:val="24"/>
        </w:rPr>
        <w:t xml:space="preserve">Headlines </w:t>
      </w:r>
    </w:p>
    <w:tbl>
      <w:tblPr>
        <w:tblStyle w:val="CABlank"/>
        <w:tblW w:w="9972" w:type="dxa"/>
        <w:tblCellMar>
          <w:left w:w="170" w:type="dxa"/>
        </w:tblCellMar>
        <w:tblLook w:val="04A0" w:firstRow="1" w:lastRow="0" w:firstColumn="1" w:lastColumn="0" w:noHBand="0" w:noVBand="1"/>
      </w:tblPr>
      <w:tblGrid>
        <w:gridCol w:w="2268"/>
        <w:gridCol w:w="305"/>
        <w:gridCol w:w="2268"/>
        <w:gridCol w:w="312"/>
        <w:gridCol w:w="2268"/>
        <w:gridCol w:w="283"/>
        <w:gridCol w:w="2268"/>
      </w:tblGrid>
      <w:tr w:rsidR="00CA3282" w14:paraId="318A50E9" w14:textId="77777777" w:rsidTr="00E93754">
        <w:trPr>
          <w:trHeight w:val="454"/>
        </w:trPr>
        <w:tc>
          <w:tcPr>
            <w:tcW w:w="2268" w:type="dxa"/>
            <w:shd w:val="clear" w:color="auto" w:fill="1ED2E6" w:themeFill="accent1"/>
            <w:vAlign w:val="center"/>
          </w:tcPr>
          <w:p w14:paraId="41530085" w14:textId="013AEF57" w:rsidR="008037F3" w:rsidRPr="00037912" w:rsidRDefault="00037912" w:rsidP="00A93AB1">
            <w:pPr>
              <w:spacing w:before="0" w:line="360" w:lineRule="auto"/>
              <w:jc w:val="both"/>
              <w:rPr>
                <w:rFonts w:eastAsiaTheme="minorEastAsia"/>
                <w:b/>
                <w:bCs/>
                <w:caps/>
                <w:color w:val="FFFFFF" w:themeColor="background1"/>
                <w:sz w:val="22"/>
                <w:szCs w:val="22"/>
              </w:rPr>
            </w:pPr>
            <w:r w:rsidRPr="00037912">
              <w:rPr>
                <w:rFonts w:eastAsiaTheme="minorEastAsia"/>
                <w:b/>
                <w:bCs/>
                <w:color w:val="FFFFFF" w:themeColor="background1"/>
                <w:sz w:val="22"/>
                <w:szCs w:val="22"/>
              </w:rPr>
              <w:t>SUPERANNUATION</w:t>
            </w:r>
          </w:p>
        </w:tc>
        <w:tc>
          <w:tcPr>
            <w:tcW w:w="305" w:type="dxa"/>
            <w:vAlign w:val="center"/>
          </w:tcPr>
          <w:p w14:paraId="2847C695" w14:textId="77777777" w:rsidR="008037F3" w:rsidRPr="00037912" w:rsidRDefault="008037F3" w:rsidP="00A93AB1">
            <w:pPr>
              <w:spacing w:before="0" w:line="360" w:lineRule="auto"/>
              <w:jc w:val="both"/>
              <w:rPr>
                <w:rFonts w:eastAsiaTheme="minorEastAsia"/>
                <w:b/>
                <w:bCs/>
                <w:caps/>
                <w:color w:val="FFFFFF" w:themeColor="background1"/>
                <w:sz w:val="22"/>
                <w:szCs w:val="22"/>
              </w:rPr>
            </w:pPr>
          </w:p>
        </w:tc>
        <w:tc>
          <w:tcPr>
            <w:tcW w:w="2268" w:type="dxa"/>
            <w:shd w:val="clear" w:color="auto" w:fill="1ED2E6" w:themeFill="accent1"/>
            <w:vAlign w:val="center"/>
          </w:tcPr>
          <w:p w14:paraId="649A1AEB" w14:textId="11A036C0" w:rsidR="008037F3" w:rsidRPr="00037912" w:rsidRDefault="00037912" w:rsidP="00A93AB1">
            <w:pPr>
              <w:spacing w:before="0" w:line="360" w:lineRule="auto"/>
              <w:jc w:val="both"/>
              <w:rPr>
                <w:rFonts w:eastAsiaTheme="minorEastAsia"/>
                <w:b/>
                <w:bCs/>
                <w:caps/>
                <w:color w:val="FFFFFF" w:themeColor="background1"/>
                <w:sz w:val="22"/>
                <w:szCs w:val="22"/>
              </w:rPr>
            </w:pPr>
            <w:r w:rsidRPr="00037912">
              <w:rPr>
                <w:rFonts w:eastAsiaTheme="minorEastAsia"/>
                <w:b/>
                <w:bCs/>
                <w:color w:val="FFFFFF" w:themeColor="background1"/>
                <w:sz w:val="22"/>
                <w:szCs w:val="22"/>
              </w:rPr>
              <w:t>TAXATION</w:t>
            </w:r>
          </w:p>
        </w:tc>
        <w:tc>
          <w:tcPr>
            <w:tcW w:w="312" w:type="dxa"/>
            <w:vAlign w:val="center"/>
          </w:tcPr>
          <w:p w14:paraId="07078C94" w14:textId="77777777" w:rsidR="008037F3" w:rsidRPr="00037912" w:rsidRDefault="008037F3" w:rsidP="00A93AB1">
            <w:pPr>
              <w:spacing w:before="0" w:line="360" w:lineRule="auto"/>
              <w:jc w:val="both"/>
              <w:rPr>
                <w:rFonts w:eastAsiaTheme="minorEastAsia"/>
                <w:b/>
                <w:bCs/>
                <w:caps/>
                <w:color w:val="FFFFFF" w:themeColor="background1"/>
                <w:sz w:val="22"/>
                <w:szCs w:val="22"/>
              </w:rPr>
            </w:pPr>
          </w:p>
        </w:tc>
        <w:tc>
          <w:tcPr>
            <w:tcW w:w="2268" w:type="dxa"/>
            <w:shd w:val="clear" w:color="auto" w:fill="1ED2E6" w:themeFill="accent1"/>
            <w:vAlign w:val="center"/>
          </w:tcPr>
          <w:p w14:paraId="47A8D020" w14:textId="0CDB5A2E" w:rsidR="008037F3" w:rsidRPr="00037912" w:rsidRDefault="00037912" w:rsidP="00A93AB1">
            <w:pPr>
              <w:spacing w:before="0" w:line="360" w:lineRule="auto"/>
              <w:jc w:val="both"/>
              <w:rPr>
                <w:rFonts w:eastAsiaTheme="minorEastAsia"/>
                <w:b/>
                <w:bCs/>
                <w:caps/>
                <w:color w:val="FFFFFF" w:themeColor="background1"/>
                <w:sz w:val="22"/>
                <w:szCs w:val="22"/>
              </w:rPr>
            </w:pPr>
            <w:r w:rsidRPr="00037912">
              <w:rPr>
                <w:rFonts w:eastAsiaTheme="minorEastAsia"/>
                <w:b/>
                <w:bCs/>
                <w:color w:val="FFFFFF" w:themeColor="background1"/>
                <w:sz w:val="22"/>
                <w:szCs w:val="22"/>
              </w:rPr>
              <w:t>SOCIAL SECURITY</w:t>
            </w:r>
          </w:p>
        </w:tc>
        <w:tc>
          <w:tcPr>
            <w:tcW w:w="283" w:type="dxa"/>
            <w:vAlign w:val="center"/>
          </w:tcPr>
          <w:p w14:paraId="3245249B" w14:textId="77777777" w:rsidR="008037F3" w:rsidRPr="00037912" w:rsidRDefault="008037F3" w:rsidP="00A93AB1">
            <w:pPr>
              <w:spacing w:before="0" w:line="360" w:lineRule="auto"/>
              <w:jc w:val="both"/>
              <w:rPr>
                <w:rFonts w:eastAsiaTheme="minorEastAsia"/>
                <w:b/>
                <w:bCs/>
                <w:caps/>
                <w:color w:val="FFFFFF" w:themeColor="background1"/>
                <w:sz w:val="22"/>
                <w:szCs w:val="22"/>
              </w:rPr>
            </w:pPr>
          </w:p>
        </w:tc>
        <w:tc>
          <w:tcPr>
            <w:tcW w:w="2268" w:type="dxa"/>
            <w:shd w:val="clear" w:color="auto" w:fill="1ED2E6" w:themeFill="accent1"/>
            <w:vAlign w:val="center"/>
          </w:tcPr>
          <w:p w14:paraId="219A2501" w14:textId="7CF7F585" w:rsidR="008037F3" w:rsidRPr="00037912" w:rsidRDefault="00037912" w:rsidP="00A93AB1">
            <w:pPr>
              <w:spacing w:before="0" w:line="360" w:lineRule="auto"/>
              <w:jc w:val="both"/>
              <w:rPr>
                <w:rFonts w:eastAsiaTheme="minorEastAsia"/>
                <w:b/>
                <w:bCs/>
                <w:caps/>
                <w:color w:val="FFFFFF" w:themeColor="background1"/>
                <w:sz w:val="22"/>
                <w:szCs w:val="22"/>
              </w:rPr>
            </w:pPr>
            <w:r w:rsidRPr="00037912">
              <w:rPr>
                <w:rFonts w:eastAsiaTheme="minorEastAsia"/>
                <w:b/>
                <w:bCs/>
                <w:color w:val="FFFFFF" w:themeColor="background1"/>
                <w:sz w:val="22"/>
                <w:szCs w:val="22"/>
              </w:rPr>
              <w:t>FUEL EXCISE</w:t>
            </w:r>
          </w:p>
        </w:tc>
      </w:tr>
      <w:tr w:rsidR="00CA3282" w14:paraId="084CF344" w14:textId="77777777" w:rsidTr="000A79F3">
        <w:trPr>
          <w:trHeight w:val="454"/>
        </w:trPr>
        <w:tc>
          <w:tcPr>
            <w:tcW w:w="2268" w:type="dxa"/>
            <w:shd w:val="clear" w:color="auto" w:fill="D2F5FA" w:themeFill="accent1" w:themeFillTint="33"/>
          </w:tcPr>
          <w:p w14:paraId="75349B4F" w14:textId="77777777" w:rsidR="000A79F3" w:rsidRDefault="000A79F3" w:rsidP="00A93AB1">
            <w:pPr>
              <w:spacing w:before="0" w:line="360" w:lineRule="auto"/>
              <w:rPr>
                <w:rFonts w:eastAsiaTheme="minorEastAsia"/>
                <w:color w:val="5A5B5E" w:themeColor="text1"/>
                <w:sz w:val="22"/>
                <w:szCs w:val="22"/>
              </w:rPr>
            </w:pPr>
          </w:p>
          <w:p w14:paraId="224EC14E" w14:textId="08BE32F6" w:rsidR="008037F3" w:rsidRPr="00037912" w:rsidRDefault="00504722" w:rsidP="00A93AB1">
            <w:pPr>
              <w:spacing w:before="0" w:line="360" w:lineRule="auto"/>
              <w:rPr>
                <w:rFonts w:eastAsiaTheme="minorEastAsia"/>
                <w:caps/>
                <w:color w:val="5A5B5E" w:themeColor="text1"/>
                <w:sz w:val="22"/>
                <w:szCs w:val="22"/>
              </w:rPr>
            </w:pPr>
            <w:r w:rsidRPr="00104492">
              <w:rPr>
                <w:rFonts w:eastAsiaTheme="minorEastAsia"/>
                <w:sz w:val="22"/>
                <w:szCs w:val="22"/>
              </w:rPr>
              <w:t xml:space="preserve">Fifty </w:t>
            </w:r>
            <w:r w:rsidR="000A4069" w:rsidRPr="00104492">
              <w:rPr>
                <w:rFonts w:eastAsiaTheme="minorEastAsia"/>
                <w:sz w:val="22"/>
                <w:szCs w:val="22"/>
              </w:rPr>
              <w:t>per cent</w:t>
            </w:r>
            <w:r w:rsidR="00037912" w:rsidRPr="00104492">
              <w:rPr>
                <w:rFonts w:eastAsiaTheme="minorEastAsia"/>
                <w:sz w:val="22"/>
                <w:szCs w:val="22"/>
              </w:rPr>
              <w:t xml:space="preserve"> reduction of minimum pension payments extended to 1 July 2023</w:t>
            </w:r>
          </w:p>
        </w:tc>
        <w:tc>
          <w:tcPr>
            <w:tcW w:w="305" w:type="dxa"/>
          </w:tcPr>
          <w:p w14:paraId="425A8BD4" w14:textId="77777777" w:rsidR="008037F3" w:rsidRPr="00037912" w:rsidRDefault="008037F3" w:rsidP="00A93AB1">
            <w:pPr>
              <w:spacing w:before="0" w:line="360" w:lineRule="auto"/>
              <w:rPr>
                <w:rFonts w:eastAsiaTheme="minorEastAsia"/>
                <w:b/>
                <w:bCs/>
                <w:caps/>
                <w:color w:val="5A5B5E" w:themeColor="text1"/>
                <w:sz w:val="22"/>
                <w:szCs w:val="22"/>
              </w:rPr>
            </w:pPr>
          </w:p>
        </w:tc>
        <w:tc>
          <w:tcPr>
            <w:tcW w:w="2268" w:type="dxa"/>
            <w:shd w:val="clear" w:color="auto" w:fill="D2F5FA" w:themeFill="accent1" w:themeFillTint="33"/>
          </w:tcPr>
          <w:p w14:paraId="233D5189" w14:textId="77777777" w:rsidR="000A79F3" w:rsidRPr="00104492" w:rsidRDefault="000A79F3" w:rsidP="00A93AB1">
            <w:pPr>
              <w:spacing w:before="0" w:line="360" w:lineRule="auto"/>
              <w:rPr>
                <w:rFonts w:eastAsiaTheme="minorEastAsia"/>
                <w:sz w:val="22"/>
                <w:szCs w:val="22"/>
              </w:rPr>
            </w:pPr>
          </w:p>
          <w:p w14:paraId="26B30A3A" w14:textId="3A901156" w:rsidR="008037F3" w:rsidRPr="00037912" w:rsidRDefault="00037912" w:rsidP="00A93AB1">
            <w:pPr>
              <w:spacing w:before="0" w:line="360" w:lineRule="auto"/>
              <w:rPr>
                <w:rFonts w:eastAsiaTheme="minorEastAsia"/>
                <w:caps/>
                <w:color w:val="5A5B5E" w:themeColor="text1"/>
                <w:sz w:val="22"/>
                <w:szCs w:val="22"/>
              </w:rPr>
            </w:pPr>
            <w:r w:rsidRPr="00104492">
              <w:rPr>
                <w:rFonts w:eastAsiaTheme="minorEastAsia"/>
                <w:sz w:val="22"/>
                <w:szCs w:val="22"/>
              </w:rPr>
              <w:t xml:space="preserve">$420 added to </w:t>
            </w:r>
            <w:r w:rsidR="00D04DD5" w:rsidRPr="00104492">
              <w:rPr>
                <w:rFonts w:eastAsiaTheme="minorEastAsia"/>
                <w:sz w:val="22"/>
                <w:szCs w:val="22"/>
              </w:rPr>
              <w:t>low- and middle-income</w:t>
            </w:r>
            <w:r w:rsidRPr="00104492">
              <w:rPr>
                <w:rFonts w:eastAsiaTheme="minorEastAsia"/>
                <w:sz w:val="22"/>
                <w:szCs w:val="22"/>
              </w:rPr>
              <w:t xml:space="preserve"> tax offset for 2021/22</w:t>
            </w:r>
          </w:p>
        </w:tc>
        <w:tc>
          <w:tcPr>
            <w:tcW w:w="312" w:type="dxa"/>
          </w:tcPr>
          <w:p w14:paraId="3D9C0E1D" w14:textId="77777777" w:rsidR="008037F3" w:rsidRPr="00037912" w:rsidRDefault="008037F3" w:rsidP="00A93AB1">
            <w:pPr>
              <w:spacing w:before="0" w:line="360" w:lineRule="auto"/>
              <w:rPr>
                <w:rFonts w:eastAsiaTheme="minorEastAsia"/>
                <w:caps/>
                <w:color w:val="5A5B5E" w:themeColor="text1"/>
                <w:sz w:val="22"/>
                <w:szCs w:val="22"/>
              </w:rPr>
            </w:pPr>
          </w:p>
        </w:tc>
        <w:tc>
          <w:tcPr>
            <w:tcW w:w="2268" w:type="dxa"/>
            <w:shd w:val="clear" w:color="auto" w:fill="D2F5FA" w:themeFill="accent1" w:themeFillTint="33"/>
          </w:tcPr>
          <w:p w14:paraId="4438466C" w14:textId="77777777" w:rsidR="000A79F3" w:rsidRPr="00104492" w:rsidRDefault="000A79F3" w:rsidP="00A93AB1">
            <w:pPr>
              <w:spacing w:before="0" w:line="360" w:lineRule="auto"/>
              <w:rPr>
                <w:rFonts w:eastAsiaTheme="minorEastAsia"/>
                <w:sz w:val="22"/>
                <w:szCs w:val="22"/>
              </w:rPr>
            </w:pPr>
          </w:p>
          <w:p w14:paraId="6BAB391E" w14:textId="77777777" w:rsidR="008037F3" w:rsidRPr="00104492" w:rsidRDefault="00037912" w:rsidP="00A93AB1">
            <w:pPr>
              <w:spacing w:before="0" w:line="360" w:lineRule="auto"/>
              <w:rPr>
                <w:rFonts w:eastAsiaTheme="minorEastAsia"/>
                <w:sz w:val="22"/>
                <w:szCs w:val="22"/>
              </w:rPr>
            </w:pPr>
            <w:r w:rsidRPr="00104492">
              <w:rPr>
                <w:rFonts w:eastAsiaTheme="minorEastAsia"/>
                <w:sz w:val="22"/>
                <w:szCs w:val="22"/>
              </w:rPr>
              <w:t xml:space="preserve">$250 one-off payment for pensioners, </w:t>
            </w:r>
            <w:proofErr w:type="spellStart"/>
            <w:r w:rsidRPr="00104492">
              <w:rPr>
                <w:rFonts w:eastAsiaTheme="minorEastAsia"/>
                <w:sz w:val="22"/>
                <w:szCs w:val="22"/>
              </w:rPr>
              <w:t>allowees</w:t>
            </w:r>
            <w:proofErr w:type="spellEnd"/>
            <w:r w:rsidRPr="00104492">
              <w:rPr>
                <w:rFonts w:eastAsiaTheme="minorEastAsia"/>
                <w:sz w:val="22"/>
                <w:szCs w:val="22"/>
              </w:rPr>
              <w:t xml:space="preserve"> and concession cardholders</w:t>
            </w:r>
          </w:p>
          <w:p w14:paraId="26D64D79" w14:textId="5A14D138" w:rsidR="000A79F3" w:rsidRPr="00037912" w:rsidRDefault="000A79F3" w:rsidP="00A93AB1">
            <w:pPr>
              <w:spacing w:before="0" w:line="360" w:lineRule="auto"/>
              <w:rPr>
                <w:rFonts w:eastAsiaTheme="minorEastAsia"/>
                <w:caps/>
                <w:color w:val="5A5B5E" w:themeColor="text1"/>
                <w:sz w:val="22"/>
                <w:szCs w:val="22"/>
              </w:rPr>
            </w:pPr>
          </w:p>
        </w:tc>
        <w:tc>
          <w:tcPr>
            <w:tcW w:w="283" w:type="dxa"/>
          </w:tcPr>
          <w:p w14:paraId="0666D3C2" w14:textId="77777777" w:rsidR="008037F3" w:rsidRPr="00037912" w:rsidRDefault="008037F3" w:rsidP="00A93AB1">
            <w:pPr>
              <w:spacing w:before="0" w:line="360" w:lineRule="auto"/>
              <w:rPr>
                <w:rFonts w:eastAsiaTheme="minorEastAsia"/>
                <w:b/>
                <w:bCs/>
                <w:caps/>
                <w:color w:val="5A5B5E" w:themeColor="text1"/>
                <w:sz w:val="22"/>
                <w:szCs w:val="22"/>
              </w:rPr>
            </w:pPr>
          </w:p>
        </w:tc>
        <w:tc>
          <w:tcPr>
            <w:tcW w:w="2268" w:type="dxa"/>
            <w:shd w:val="clear" w:color="auto" w:fill="D2F5FA" w:themeFill="accent1" w:themeFillTint="33"/>
          </w:tcPr>
          <w:p w14:paraId="1739DA53" w14:textId="77777777" w:rsidR="000A79F3" w:rsidRDefault="000A79F3" w:rsidP="00A93AB1">
            <w:pPr>
              <w:spacing w:before="0" w:line="360" w:lineRule="auto"/>
              <w:rPr>
                <w:rFonts w:eastAsiaTheme="minorEastAsia"/>
                <w:color w:val="5A5B5E" w:themeColor="text1"/>
                <w:sz w:val="22"/>
                <w:szCs w:val="22"/>
              </w:rPr>
            </w:pPr>
          </w:p>
          <w:p w14:paraId="31D660D1" w14:textId="69FB9A0E" w:rsidR="008037F3" w:rsidRPr="00037912" w:rsidRDefault="00037912" w:rsidP="00A93AB1">
            <w:pPr>
              <w:spacing w:before="0" w:line="360" w:lineRule="auto"/>
              <w:rPr>
                <w:rFonts w:eastAsiaTheme="minorEastAsia"/>
                <w:caps/>
                <w:color w:val="5A5B5E" w:themeColor="text1"/>
                <w:sz w:val="22"/>
                <w:szCs w:val="22"/>
              </w:rPr>
            </w:pPr>
            <w:r w:rsidRPr="00104492">
              <w:rPr>
                <w:rFonts w:eastAsiaTheme="minorEastAsia"/>
                <w:sz w:val="22"/>
                <w:szCs w:val="22"/>
              </w:rPr>
              <w:t>Immediate 50</w:t>
            </w:r>
            <w:r w:rsidR="00504722" w:rsidRPr="00104492">
              <w:rPr>
                <w:rFonts w:eastAsiaTheme="minorEastAsia"/>
                <w:sz w:val="22"/>
                <w:szCs w:val="22"/>
              </w:rPr>
              <w:t xml:space="preserve"> </w:t>
            </w:r>
            <w:r w:rsidR="000A4069" w:rsidRPr="00104492">
              <w:rPr>
                <w:rFonts w:eastAsiaTheme="minorEastAsia"/>
                <w:sz w:val="22"/>
                <w:szCs w:val="22"/>
              </w:rPr>
              <w:t>per cent</w:t>
            </w:r>
            <w:r w:rsidRPr="00104492">
              <w:rPr>
                <w:rFonts w:eastAsiaTheme="minorEastAsia"/>
                <w:sz w:val="22"/>
                <w:szCs w:val="22"/>
              </w:rPr>
              <w:t xml:space="preserve"> reduction in excise until 28 </w:t>
            </w:r>
            <w:r w:rsidR="000A79F3" w:rsidRPr="00104492">
              <w:rPr>
                <w:rFonts w:eastAsiaTheme="minorEastAsia"/>
                <w:sz w:val="22"/>
                <w:szCs w:val="22"/>
              </w:rPr>
              <w:t>September</w:t>
            </w:r>
            <w:r w:rsidRPr="00104492">
              <w:rPr>
                <w:rFonts w:eastAsiaTheme="minorEastAsia"/>
                <w:sz w:val="22"/>
                <w:szCs w:val="22"/>
              </w:rPr>
              <w:t xml:space="preserve"> 2022</w:t>
            </w:r>
          </w:p>
        </w:tc>
      </w:tr>
    </w:tbl>
    <w:p w14:paraId="00551772" w14:textId="77777777" w:rsidR="000A79F3" w:rsidRDefault="000A79F3" w:rsidP="00A93AB1">
      <w:pPr>
        <w:pStyle w:val="Header1"/>
        <w:spacing w:before="0" w:line="360" w:lineRule="auto"/>
      </w:pPr>
    </w:p>
    <w:p w14:paraId="7DDE15C1" w14:textId="22BB23B2" w:rsidR="00202458" w:rsidRDefault="00202458" w:rsidP="00A93AB1">
      <w:pPr>
        <w:pStyle w:val="Header1"/>
        <w:spacing w:before="0" w:after="120" w:line="360" w:lineRule="auto"/>
      </w:pPr>
      <w:r>
        <w:t>The state of the economy</w:t>
      </w:r>
      <w:r w:rsidR="00CD24D8">
        <w:t xml:space="preserve"> </w:t>
      </w:r>
    </w:p>
    <w:p w14:paraId="11B08C83" w14:textId="645FE9DF" w:rsidR="224CC3C5" w:rsidRPr="00104492" w:rsidRDefault="224CC3C5" w:rsidP="00A93AB1">
      <w:pPr>
        <w:pStyle w:val="BodyText"/>
        <w:spacing w:before="0" w:line="360" w:lineRule="auto"/>
        <w:ind w:left="58"/>
        <w:rPr>
          <w:rFonts w:eastAsiaTheme="minorEastAsia"/>
          <w:color w:val="auto"/>
          <w:szCs w:val="20"/>
        </w:rPr>
      </w:pPr>
      <w:r w:rsidRPr="00104492">
        <w:rPr>
          <w:rFonts w:eastAsiaTheme="minorEastAsia"/>
          <w:color w:val="auto"/>
          <w:szCs w:val="20"/>
        </w:rPr>
        <w:t>Given the circumstances that Australia has endured over the past couple of years, with COVID</w:t>
      </w:r>
      <w:r w:rsidR="00B80DE7" w:rsidRPr="00104492">
        <w:rPr>
          <w:rFonts w:eastAsiaTheme="minorEastAsia"/>
          <w:color w:val="auto"/>
          <w:szCs w:val="20"/>
        </w:rPr>
        <w:t>-19</w:t>
      </w:r>
      <w:r w:rsidRPr="00104492">
        <w:rPr>
          <w:rFonts w:eastAsiaTheme="minorEastAsia"/>
          <w:color w:val="auto"/>
          <w:szCs w:val="20"/>
        </w:rPr>
        <w:t xml:space="preserve">, extended lockdowns in many parts of the country, and natural disasters ranging from devastating droughts, bush fires and floods, the economy has been very resilient. </w:t>
      </w:r>
    </w:p>
    <w:p w14:paraId="12F50FBC" w14:textId="77777777" w:rsidR="003B6AA9" w:rsidRPr="00104492" w:rsidRDefault="003B6AA9" w:rsidP="00A93AB1">
      <w:pPr>
        <w:pStyle w:val="BodyText"/>
        <w:spacing w:before="0" w:line="360" w:lineRule="auto"/>
        <w:ind w:left="58"/>
        <w:rPr>
          <w:rFonts w:eastAsiaTheme="minorEastAsia"/>
          <w:color w:val="auto"/>
          <w:szCs w:val="20"/>
        </w:rPr>
      </w:pPr>
    </w:p>
    <w:p w14:paraId="521C2304" w14:textId="5B654F8F" w:rsidR="224CC3C5" w:rsidRPr="00104492" w:rsidRDefault="224CC3C5" w:rsidP="00A93AB1">
      <w:pPr>
        <w:pStyle w:val="BodyText"/>
        <w:spacing w:before="0" w:line="360" w:lineRule="auto"/>
        <w:ind w:left="58"/>
        <w:rPr>
          <w:rFonts w:eastAsiaTheme="minorEastAsia"/>
          <w:color w:val="auto"/>
          <w:szCs w:val="20"/>
        </w:rPr>
      </w:pPr>
      <w:r w:rsidRPr="00104492">
        <w:rPr>
          <w:rFonts w:eastAsiaTheme="minorEastAsia"/>
          <w:color w:val="auto"/>
          <w:szCs w:val="20"/>
        </w:rPr>
        <w:t>By way of a quick snapshot, the economic outlook, as presented in the Budget, is as follows:</w:t>
      </w:r>
    </w:p>
    <w:p w14:paraId="7B790897" w14:textId="7E67B6A1" w:rsidR="224CC3C5" w:rsidRPr="00104492" w:rsidRDefault="224CC3C5" w:rsidP="00A93AB1">
      <w:pPr>
        <w:pStyle w:val="BodyText"/>
        <w:numPr>
          <w:ilvl w:val="0"/>
          <w:numId w:val="2"/>
        </w:numPr>
        <w:spacing w:before="0" w:line="360" w:lineRule="auto"/>
        <w:rPr>
          <w:rFonts w:eastAsiaTheme="minorEastAsia"/>
          <w:color w:val="auto"/>
          <w:szCs w:val="20"/>
        </w:rPr>
      </w:pPr>
      <w:r w:rsidRPr="00104492">
        <w:rPr>
          <w:rFonts w:eastAsiaTheme="minorEastAsia"/>
          <w:color w:val="auto"/>
          <w:szCs w:val="20"/>
        </w:rPr>
        <w:t xml:space="preserve">Real GDP Growth is expected to be </w:t>
      </w:r>
      <w:r w:rsidR="005C3ED9" w:rsidRPr="00104492">
        <w:rPr>
          <w:rFonts w:eastAsiaTheme="minorEastAsia"/>
          <w:color w:val="auto"/>
          <w:szCs w:val="20"/>
        </w:rPr>
        <w:t>4</w:t>
      </w:r>
      <w:r w:rsidRPr="00104492">
        <w:rPr>
          <w:rFonts w:eastAsiaTheme="minorEastAsia"/>
          <w:color w:val="auto"/>
          <w:szCs w:val="20"/>
        </w:rPr>
        <w:t>¼</w:t>
      </w:r>
      <w:r w:rsidR="00B86695" w:rsidRPr="00104492">
        <w:rPr>
          <w:rFonts w:eastAsiaTheme="minorEastAsia"/>
          <w:color w:val="auto"/>
          <w:szCs w:val="20"/>
        </w:rPr>
        <w:t xml:space="preserve"> </w:t>
      </w:r>
      <w:r w:rsidR="000A4069" w:rsidRPr="00104492">
        <w:rPr>
          <w:rFonts w:eastAsiaTheme="minorEastAsia"/>
          <w:color w:val="auto"/>
          <w:szCs w:val="20"/>
        </w:rPr>
        <w:t>per cent</w:t>
      </w:r>
      <w:r w:rsidRPr="00104492">
        <w:rPr>
          <w:rFonts w:eastAsiaTheme="minorEastAsia"/>
          <w:color w:val="auto"/>
          <w:szCs w:val="20"/>
        </w:rPr>
        <w:t xml:space="preserve"> in 2021-22, 3½</w:t>
      </w:r>
      <w:r w:rsidR="00E115E2" w:rsidRPr="00104492">
        <w:rPr>
          <w:rFonts w:eastAsiaTheme="minorEastAsia"/>
          <w:color w:val="auto"/>
          <w:szCs w:val="20"/>
        </w:rPr>
        <w:t xml:space="preserve"> </w:t>
      </w:r>
      <w:r w:rsidR="000A4069" w:rsidRPr="00104492">
        <w:rPr>
          <w:rFonts w:eastAsiaTheme="minorEastAsia"/>
          <w:color w:val="auto"/>
          <w:szCs w:val="20"/>
        </w:rPr>
        <w:t>per cent</w:t>
      </w:r>
      <w:r w:rsidRPr="00104492">
        <w:rPr>
          <w:rFonts w:eastAsiaTheme="minorEastAsia"/>
          <w:color w:val="auto"/>
          <w:szCs w:val="20"/>
        </w:rPr>
        <w:t xml:space="preserve"> in 2022-23, and </w:t>
      </w:r>
      <w:r w:rsidR="005C3ED9" w:rsidRPr="00104492">
        <w:rPr>
          <w:rFonts w:eastAsiaTheme="minorEastAsia"/>
          <w:color w:val="auto"/>
          <w:szCs w:val="20"/>
        </w:rPr>
        <w:t>2</w:t>
      </w:r>
      <w:r w:rsidRPr="00104492">
        <w:rPr>
          <w:rFonts w:eastAsiaTheme="minorEastAsia"/>
          <w:color w:val="auto"/>
          <w:szCs w:val="20"/>
        </w:rPr>
        <w:t>½</w:t>
      </w:r>
      <w:r w:rsidR="00E115E2" w:rsidRPr="00104492">
        <w:rPr>
          <w:rFonts w:eastAsiaTheme="minorEastAsia"/>
          <w:color w:val="auto"/>
          <w:szCs w:val="20"/>
        </w:rPr>
        <w:t xml:space="preserve"> </w:t>
      </w:r>
      <w:r w:rsidR="000A4069" w:rsidRPr="00104492">
        <w:rPr>
          <w:rFonts w:eastAsiaTheme="minorEastAsia"/>
          <w:color w:val="auto"/>
          <w:szCs w:val="20"/>
        </w:rPr>
        <w:t>per cent</w:t>
      </w:r>
      <w:r w:rsidRPr="00104492">
        <w:rPr>
          <w:rFonts w:eastAsiaTheme="minorEastAsia"/>
          <w:color w:val="auto"/>
          <w:szCs w:val="20"/>
        </w:rPr>
        <w:t xml:space="preserve"> in 2023-24</w:t>
      </w:r>
    </w:p>
    <w:p w14:paraId="0879C0CB" w14:textId="7C750F25" w:rsidR="224CC3C5" w:rsidRPr="00104492" w:rsidRDefault="224CC3C5" w:rsidP="00A93AB1">
      <w:pPr>
        <w:pStyle w:val="BodyText"/>
        <w:numPr>
          <w:ilvl w:val="0"/>
          <w:numId w:val="2"/>
        </w:numPr>
        <w:spacing w:before="0" w:line="360" w:lineRule="auto"/>
        <w:rPr>
          <w:color w:val="auto"/>
          <w:szCs w:val="20"/>
        </w:rPr>
      </w:pPr>
      <w:r w:rsidRPr="00104492">
        <w:rPr>
          <w:rFonts w:eastAsiaTheme="minorEastAsia"/>
          <w:color w:val="auto"/>
          <w:szCs w:val="20"/>
        </w:rPr>
        <w:t xml:space="preserve">The unemployment rate </w:t>
      </w:r>
      <w:r w:rsidR="00271CE8" w:rsidRPr="00104492">
        <w:rPr>
          <w:rFonts w:eastAsiaTheme="minorEastAsia"/>
          <w:color w:val="auto"/>
          <w:szCs w:val="20"/>
        </w:rPr>
        <w:t>is</w:t>
      </w:r>
      <w:r w:rsidRPr="00104492">
        <w:rPr>
          <w:rFonts w:eastAsiaTheme="minorEastAsia"/>
          <w:color w:val="auto"/>
          <w:szCs w:val="20"/>
        </w:rPr>
        <w:t xml:space="preserve"> expected to drop to </w:t>
      </w:r>
      <w:r w:rsidR="0007083F" w:rsidRPr="00104492">
        <w:rPr>
          <w:rFonts w:eastAsiaTheme="minorEastAsia"/>
          <w:color w:val="auto"/>
          <w:szCs w:val="20"/>
        </w:rPr>
        <w:t>3</w:t>
      </w:r>
      <w:r w:rsidRPr="00104492">
        <w:rPr>
          <w:rFonts w:eastAsiaTheme="minorEastAsia"/>
          <w:color w:val="auto"/>
          <w:szCs w:val="20"/>
        </w:rPr>
        <w:t>¾</w:t>
      </w:r>
      <w:r w:rsidR="007A7F8B" w:rsidRPr="00104492">
        <w:rPr>
          <w:rFonts w:eastAsiaTheme="minorEastAsia"/>
          <w:color w:val="auto"/>
          <w:szCs w:val="20"/>
        </w:rPr>
        <w:t xml:space="preserve"> </w:t>
      </w:r>
      <w:r w:rsidR="000A4069" w:rsidRPr="00104492">
        <w:rPr>
          <w:rFonts w:eastAsiaTheme="minorEastAsia"/>
          <w:color w:val="auto"/>
          <w:szCs w:val="20"/>
        </w:rPr>
        <w:t>per cent</w:t>
      </w:r>
      <w:r w:rsidRPr="00104492">
        <w:rPr>
          <w:rFonts w:eastAsiaTheme="minorEastAsia"/>
          <w:color w:val="auto"/>
          <w:szCs w:val="20"/>
        </w:rPr>
        <w:t xml:space="preserve"> by September 2022. This will be the lowest unemployment rate in close </w:t>
      </w:r>
      <w:r w:rsidR="0007083F" w:rsidRPr="00104492">
        <w:rPr>
          <w:rFonts w:eastAsiaTheme="minorEastAsia"/>
          <w:color w:val="auto"/>
          <w:szCs w:val="20"/>
        </w:rPr>
        <w:t>to</w:t>
      </w:r>
      <w:r w:rsidRPr="00104492">
        <w:rPr>
          <w:rFonts w:eastAsiaTheme="minorEastAsia"/>
          <w:color w:val="auto"/>
          <w:szCs w:val="20"/>
        </w:rPr>
        <w:t xml:space="preserve"> 50 years.</w:t>
      </w:r>
    </w:p>
    <w:p w14:paraId="79C5C802" w14:textId="337A2F7B" w:rsidR="224CC3C5" w:rsidRPr="00104492" w:rsidRDefault="224CC3C5" w:rsidP="00A93AB1">
      <w:pPr>
        <w:pStyle w:val="BodyText"/>
        <w:numPr>
          <w:ilvl w:val="0"/>
          <w:numId w:val="2"/>
        </w:numPr>
        <w:spacing w:before="0" w:line="360" w:lineRule="auto"/>
        <w:rPr>
          <w:color w:val="auto"/>
          <w:szCs w:val="20"/>
        </w:rPr>
      </w:pPr>
      <w:r w:rsidRPr="00104492">
        <w:rPr>
          <w:rFonts w:eastAsiaTheme="minorEastAsia"/>
          <w:color w:val="auto"/>
          <w:szCs w:val="20"/>
        </w:rPr>
        <w:lastRenderedPageBreak/>
        <w:t xml:space="preserve">Wages growth, while stagnant in recent years, is expected to accelerate from </w:t>
      </w:r>
      <w:r w:rsidR="00FF09E4" w:rsidRPr="00104492">
        <w:rPr>
          <w:rFonts w:eastAsiaTheme="minorEastAsia"/>
          <w:color w:val="auto"/>
          <w:szCs w:val="20"/>
        </w:rPr>
        <w:t>2</w:t>
      </w:r>
      <w:r w:rsidRPr="00104492">
        <w:rPr>
          <w:rFonts w:eastAsiaTheme="minorEastAsia"/>
          <w:color w:val="auto"/>
          <w:szCs w:val="20"/>
        </w:rPr>
        <w:t>¾</w:t>
      </w:r>
      <w:r w:rsidR="007A7F8B" w:rsidRPr="00104492">
        <w:rPr>
          <w:rFonts w:eastAsiaTheme="minorEastAsia"/>
          <w:color w:val="auto"/>
          <w:szCs w:val="20"/>
        </w:rPr>
        <w:t xml:space="preserve"> </w:t>
      </w:r>
      <w:r w:rsidR="0007083F" w:rsidRPr="00104492">
        <w:rPr>
          <w:rFonts w:eastAsiaTheme="minorEastAsia"/>
          <w:color w:val="auto"/>
          <w:szCs w:val="20"/>
        </w:rPr>
        <w:t>per cent</w:t>
      </w:r>
      <w:r w:rsidRPr="00104492">
        <w:rPr>
          <w:rFonts w:eastAsiaTheme="minorEastAsia"/>
          <w:color w:val="auto"/>
          <w:szCs w:val="20"/>
        </w:rPr>
        <w:t xml:space="preserve"> in 2021-22 to 3¼</w:t>
      </w:r>
      <w:r w:rsidR="007A7F8B" w:rsidRPr="00104492">
        <w:rPr>
          <w:rFonts w:eastAsiaTheme="minorEastAsia"/>
          <w:color w:val="auto"/>
          <w:szCs w:val="20"/>
        </w:rPr>
        <w:t xml:space="preserve"> </w:t>
      </w:r>
      <w:r w:rsidR="0007083F" w:rsidRPr="00104492">
        <w:rPr>
          <w:rFonts w:eastAsiaTheme="minorEastAsia"/>
          <w:color w:val="auto"/>
          <w:szCs w:val="20"/>
        </w:rPr>
        <w:t>per cent</w:t>
      </w:r>
      <w:r w:rsidRPr="00104492">
        <w:rPr>
          <w:rFonts w:eastAsiaTheme="minorEastAsia"/>
          <w:color w:val="auto"/>
          <w:szCs w:val="20"/>
        </w:rPr>
        <w:t xml:space="preserve"> in 2022-23.</w:t>
      </w:r>
    </w:p>
    <w:p w14:paraId="0A40AD05" w14:textId="2CC3F064" w:rsidR="224CC3C5" w:rsidRPr="00104492" w:rsidRDefault="224CC3C5" w:rsidP="00A93AB1">
      <w:pPr>
        <w:pStyle w:val="BodyText"/>
        <w:numPr>
          <w:ilvl w:val="0"/>
          <w:numId w:val="2"/>
        </w:numPr>
        <w:spacing w:before="0" w:line="360" w:lineRule="auto"/>
        <w:rPr>
          <w:color w:val="auto"/>
          <w:szCs w:val="20"/>
        </w:rPr>
      </w:pPr>
      <w:r w:rsidRPr="00104492">
        <w:rPr>
          <w:rFonts w:eastAsiaTheme="minorEastAsia"/>
          <w:color w:val="auto"/>
          <w:szCs w:val="20"/>
        </w:rPr>
        <w:t xml:space="preserve">A concern over recent months has been Australia’s inflation rate. Headline inflation in 2021-22 is expected to be </w:t>
      </w:r>
      <w:r w:rsidR="00FF09E4" w:rsidRPr="00104492">
        <w:rPr>
          <w:rFonts w:eastAsiaTheme="minorEastAsia"/>
          <w:color w:val="auto"/>
          <w:szCs w:val="20"/>
        </w:rPr>
        <w:t>4</w:t>
      </w:r>
      <w:r w:rsidRPr="00104492">
        <w:rPr>
          <w:rFonts w:eastAsiaTheme="minorEastAsia"/>
          <w:color w:val="auto"/>
          <w:szCs w:val="20"/>
        </w:rPr>
        <w:t>¼</w:t>
      </w:r>
      <w:r w:rsidR="00816218" w:rsidRPr="00104492">
        <w:rPr>
          <w:rFonts w:eastAsiaTheme="minorEastAsia"/>
          <w:color w:val="auto"/>
          <w:szCs w:val="20"/>
        </w:rPr>
        <w:t xml:space="preserve"> </w:t>
      </w:r>
      <w:r w:rsidR="0007083F" w:rsidRPr="00104492">
        <w:rPr>
          <w:rFonts w:eastAsiaTheme="minorEastAsia"/>
          <w:color w:val="auto"/>
          <w:szCs w:val="20"/>
        </w:rPr>
        <w:t>per cent</w:t>
      </w:r>
      <w:r w:rsidRPr="00104492">
        <w:rPr>
          <w:rFonts w:eastAsiaTheme="minorEastAsia"/>
          <w:color w:val="auto"/>
          <w:szCs w:val="20"/>
        </w:rPr>
        <w:t xml:space="preserve"> before moderating to 3</w:t>
      </w:r>
      <w:r w:rsidR="00816218" w:rsidRPr="00104492">
        <w:rPr>
          <w:rFonts w:eastAsiaTheme="minorEastAsia"/>
          <w:color w:val="auto"/>
          <w:szCs w:val="20"/>
        </w:rPr>
        <w:t xml:space="preserve"> </w:t>
      </w:r>
      <w:r w:rsidR="001A1B31" w:rsidRPr="00104492">
        <w:rPr>
          <w:rFonts w:eastAsiaTheme="minorEastAsia"/>
          <w:color w:val="auto"/>
          <w:szCs w:val="20"/>
        </w:rPr>
        <w:t>per cent</w:t>
      </w:r>
      <w:r w:rsidRPr="00104492">
        <w:rPr>
          <w:rFonts w:eastAsiaTheme="minorEastAsia"/>
          <w:color w:val="auto"/>
          <w:szCs w:val="20"/>
        </w:rPr>
        <w:t xml:space="preserve"> in 2022-23 and 2¾</w:t>
      </w:r>
      <w:r w:rsidR="00816218" w:rsidRPr="00104492">
        <w:rPr>
          <w:rFonts w:eastAsiaTheme="minorEastAsia"/>
          <w:color w:val="auto"/>
          <w:szCs w:val="20"/>
        </w:rPr>
        <w:t xml:space="preserve"> </w:t>
      </w:r>
      <w:r w:rsidR="001A1B31" w:rsidRPr="00104492">
        <w:rPr>
          <w:rFonts w:eastAsiaTheme="minorEastAsia"/>
          <w:color w:val="auto"/>
          <w:szCs w:val="20"/>
        </w:rPr>
        <w:t>per cent</w:t>
      </w:r>
      <w:r w:rsidRPr="00104492">
        <w:rPr>
          <w:rFonts w:eastAsiaTheme="minorEastAsia"/>
          <w:color w:val="auto"/>
          <w:szCs w:val="20"/>
        </w:rPr>
        <w:t xml:space="preserve"> in 2023-24.</w:t>
      </w:r>
    </w:p>
    <w:p w14:paraId="77BDDF4C" w14:textId="306B16F2" w:rsidR="224CC3C5" w:rsidRDefault="224CC3C5" w:rsidP="00A93AB1">
      <w:pPr>
        <w:pStyle w:val="BodyText"/>
        <w:numPr>
          <w:ilvl w:val="0"/>
          <w:numId w:val="2"/>
        </w:numPr>
        <w:spacing w:before="0" w:line="360" w:lineRule="auto"/>
        <w:rPr>
          <w:szCs w:val="20"/>
        </w:rPr>
      </w:pPr>
      <w:r w:rsidRPr="00104492">
        <w:rPr>
          <w:rFonts w:eastAsiaTheme="minorEastAsia"/>
          <w:color w:val="auto"/>
          <w:szCs w:val="20"/>
        </w:rPr>
        <w:t>The deficit for 2022-23 is projected to be $78bn. This represents a significant improvement from what was forecasted last year.</w:t>
      </w:r>
      <w:r w:rsidRPr="224CC3C5">
        <w:rPr>
          <w:rFonts w:eastAsiaTheme="minorEastAsia"/>
          <w:szCs w:val="20"/>
        </w:rPr>
        <w:t xml:space="preserve"> </w:t>
      </w:r>
    </w:p>
    <w:p w14:paraId="1546F3BD" w14:textId="77777777" w:rsidR="000A79F3" w:rsidRDefault="000A79F3" w:rsidP="00A93AB1">
      <w:pPr>
        <w:pStyle w:val="Header1"/>
        <w:spacing w:before="0" w:line="360" w:lineRule="auto"/>
      </w:pPr>
    </w:p>
    <w:p w14:paraId="55939920" w14:textId="21C81E81" w:rsidR="00202458" w:rsidRDefault="00202458" w:rsidP="00A93AB1">
      <w:pPr>
        <w:pStyle w:val="Header1"/>
        <w:spacing w:before="0" w:after="120" w:line="360" w:lineRule="auto"/>
      </w:pPr>
      <w:r>
        <w:t xml:space="preserve">Aged Care </w:t>
      </w:r>
    </w:p>
    <w:p w14:paraId="2522AFC5" w14:textId="5A6618A6" w:rsidR="00202458" w:rsidRDefault="00202458" w:rsidP="00A93AB1">
      <w:pPr>
        <w:spacing w:before="0" w:line="360" w:lineRule="auto"/>
        <w:rPr>
          <w:rFonts w:eastAsiaTheme="minorEastAsia"/>
          <w:szCs w:val="20"/>
        </w:rPr>
      </w:pPr>
      <w:r w:rsidRPr="224CC3C5">
        <w:rPr>
          <w:rFonts w:eastAsiaTheme="minorEastAsia"/>
          <w:szCs w:val="20"/>
        </w:rPr>
        <w:t>In addition to the $</w:t>
      </w:r>
      <w:r w:rsidR="224CC3C5" w:rsidRPr="224CC3C5">
        <w:rPr>
          <w:rFonts w:eastAsiaTheme="minorEastAsia"/>
          <w:color w:val="212529"/>
          <w:szCs w:val="20"/>
        </w:rPr>
        <w:t xml:space="preserve">18.3 billion already committed to the aged care sector in last year’s budget, the Government has announced a further $468.3 million </w:t>
      </w:r>
      <w:r w:rsidR="224CC3C5" w:rsidRPr="224CC3C5">
        <w:rPr>
          <w:rFonts w:eastAsiaTheme="minorEastAsia"/>
          <w:szCs w:val="20"/>
        </w:rPr>
        <w:t xml:space="preserve">over the next </w:t>
      </w:r>
      <w:r w:rsidR="007B3A54">
        <w:rPr>
          <w:rFonts w:eastAsiaTheme="minorEastAsia"/>
          <w:szCs w:val="20"/>
        </w:rPr>
        <w:t>five</w:t>
      </w:r>
      <w:r w:rsidR="224CC3C5" w:rsidRPr="224CC3C5">
        <w:rPr>
          <w:rFonts w:eastAsiaTheme="minorEastAsia"/>
          <w:szCs w:val="20"/>
        </w:rPr>
        <w:t xml:space="preserve"> years to help implement their response to the Royal Commission into Aged Care Quality and Safety.</w:t>
      </w:r>
    </w:p>
    <w:p w14:paraId="2C9BB286" w14:textId="77777777" w:rsidR="00FF09E4" w:rsidRDefault="00FF09E4" w:rsidP="00A93AB1">
      <w:pPr>
        <w:spacing w:before="0" w:line="360" w:lineRule="auto"/>
        <w:rPr>
          <w:rFonts w:eastAsiaTheme="minorEastAsia"/>
          <w:color w:val="212529"/>
          <w:szCs w:val="20"/>
        </w:rPr>
      </w:pPr>
    </w:p>
    <w:p w14:paraId="27EA886B" w14:textId="0409D532" w:rsidR="224CC3C5" w:rsidRDefault="224CC3C5" w:rsidP="00A93AB1">
      <w:pPr>
        <w:spacing w:before="0" w:line="360" w:lineRule="auto"/>
        <w:rPr>
          <w:rFonts w:eastAsiaTheme="minorEastAsia"/>
          <w:color w:val="212529"/>
          <w:szCs w:val="20"/>
        </w:rPr>
      </w:pPr>
      <w:r w:rsidRPr="224CC3C5">
        <w:rPr>
          <w:rFonts w:eastAsiaTheme="minorEastAsia"/>
          <w:color w:val="212529"/>
          <w:szCs w:val="20"/>
        </w:rPr>
        <w:t>The additional funds are earmarked to support both the aged care sector through workforce training and governance and the 1.3 million senior Australians using care services at home and in residential facilities.</w:t>
      </w:r>
    </w:p>
    <w:p w14:paraId="0FC1D6A8" w14:textId="341ED43B" w:rsidR="224CC3C5" w:rsidRDefault="224CC3C5" w:rsidP="00A93AB1">
      <w:pPr>
        <w:spacing w:before="0" w:line="360" w:lineRule="auto"/>
        <w:rPr>
          <w:rFonts w:eastAsiaTheme="minorEastAsia"/>
          <w:color w:val="212529"/>
          <w:szCs w:val="20"/>
        </w:rPr>
      </w:pPr>
      <w:r w:rsidRPr="224CC3C5">
        <w:rPr>
          <w:rFonts w:eastAsiaTheme="minorEastAsia"/>
          <w:color w:val="212529"/>
          <w:szCs w:val="20"/>
        </w:rPr>
        <w:t xml:space="preserve">Additionally, </w:t>
      </w:r>
      <w:r w:rsidRPr="224CC3C5">
        <w:rPr>
          <w:rFonts w:eastAsiaTheme="minorEastAsia"/>
          <w:szCs w:val="20"/>
        </w:rPr>
        <w:t xml:space="preserve">$458.1 million will be provided over </w:t>
      </w:r>
      <w:r w:rsidR="00B1108F">
        <w:rPr>
          <w:rFonts w:eastAsiaTheme="minorEastAsia"/>
          <w:szCs w:val="20"/>
        </w:rPr>
        <w:t>five</w:t>
      </w:r>
      <w:r w:rsidRPr="224CC3C5">
        <w:rPr>
          <w:rFonts w:eastAsiaTheme="minorEastAsia"/>
          <w:szCs w:val="20"/>
        </w:rPr>
        <w:t xml:space="preserve"> years to support Australians in the aged care sector with managing the impacts of COVID-19 including bonuses to aged care workers in residential and home care and improving the capability and capacity of the residential aged care workforce to deliver vaccines.</w:t>
      </w:r>
      <w:r w:rsidRPr="224CC3C5">
        <w:rPr>
          <w:rFonts w:eastAsiaTheme="minorEastAsia"/>
          <w:color w:val="212529"/>
          <w:szCs w:val="20"/>
        </w:rPr>
        <w:t xml:space="preserve"> </w:t>
      </w:r>
    </w:p>
    <w:p w14:paraId="1BAEF3B5" w14:textId="77777777" w:rsidR="000A79F3" w:rsidRDefault="000A79F3" w:rsidP="00A93AB1">
      <w:pPr>
        <w:pStyle w:val="Header1"/>
        <w:spacing w:before="0" w:line="360" w:lineRule="auto"/>
      </w:pPr>
    </w:p>
    <w:p w14:paraId="640B4144" w14:textId="5B71113B" w:rsidR="00202458" w:rsidRDefault="00202458" w:rsidP="00A93AB1">
      <w:pPr>
        <w:pStyle w:val="Header1"/>
        <w:spacing w:before="0" w:after="120" w:line="360" w:lineRule="auto"/>
      </w:pPr>
      <w:r>
        <w:t>Business</w:t>
      </w:r>
    </w:p>
    <w:p w14:paraId="4B8A9B57" w14:textId="4A681CD0" w:rsidR="224CC3C5" w:rsidRDefault="224CC3C5" w:rsidP="00A93AB1">
      <w:pPr>
        <w:pStyle w:val="Header2"/>
        <w:spacing w:before="0" w:line="360" w:lineRule="auto"/>
        <w:rPr>
          <w:bCs/>
        </w:rPr>
      </w:pPr>
      <w:r>
        <w:t>Skilling Australia</w:t>
      </w:r>
    </w:p>
    <w:p w14:paraId="0ABD1CA6" w14:textId="7EA0CBB6" w:rsidR="224CC3C5" w:rsidRDefault="224CC3C5" w:rsidP="00A93AB1">
      <w:pPr>
        <w:spacing w:before="0" w:line="360" w:lineRule="auto"/>
        <w:rPr>
          <w:szCs w:val="20"/>
        </w:rPr>
      </w:pPr>
      <w:r w:rsidRPr="224CC3C5">
        <w:rPr>
          <w:szCs w:val="20"/>
        </w:rPr>
        <w:t>With a record number of Australians now in trade apprenticeships, the Budget will take it a step further by providing $5,000 payments to new apprentices, together with up to $15,000 in wage subsidies for employers taking on those apprentices</w:t>
      </w:r>
      <w:r w:rsidR="0037024E" w:rsidRPr="224CC3C5">
        <w:rPr>
          <w:szCs w:val="20"/>
        </w:rPr>
        <w:t xml:space="preserve">. </w:t>
      </w:r>
    </w:p>
    <w:p w14:paraId="5F47AAE5" w14:textId="77777777" w:rsidR="002E6C51" w:rsidRDefault="002E6C51" w:rsidP="00A93AB1">
      <w:pPr>
        <w:spacing w:before="0" w:line="360" w:lineRule="auto"/>
        <w:rPr>
          <w:szCs w:val="20"/>
        </w:rPr>
      </w:pPr>
    </w:p>
    <w:p w14:paraId="5DCF6494" w14:textId="40FDAC7B" w:rsidR="00202458" w:rsidRDefault="00202458" w:rsidP="00A93AB1">
      <w:pPr>
        <w:pStyle w:val="Header2"/>
        <w:spacing w:before="0" w:line="360" w:lineRule="auto"/>
      </w:pPr>
      <w:r>
        <w:t>Small business</w:t>
      </w:r>
    </w:p>
    <w:p w14:paraId="702A714D" w14:textId="5E3A23CA" w:rsidR="224CC3C5" w:rsidRDefault="224CC3C5" w:rsidP="00A93AB1">
      <w:pPr>
        <w:spacing w:before="0" w:line="360" w:lineRule="auto"/>
        <w:rPr>
          <w:szCs w:val="20"/>
        </w:rPr>
      </w:pPr>
      <w:r w:rsidRPr="224CC3C5">
        <w:rPr>
          <w:szCs w:val="20"/>
        </w:rPr>
        <w:t xml:space="preserve">Small businesses are the backbone of the economy, employing </w:t>
      </w:r>
      <w:r w:rsidR="00CC2196" w:rsidRPr="224CC3C5">
        <w:rPr>
          <w:szCs w:val="20"/>
        </w:rPr>
        <w:t>eight</w:t>
      </w:r>
      <w:r w:rsidRPr="224CC3C5">
        <w:rPr>
          <w:szCs w:val="20"/>
        </w:rPr>
        <w:t xml:space="preserve"> million Australians.</w:t>
      </w:r>
    </w:p>
    <w:p w14:paraId="723545B9" w14:textId="77777777" w:rsidR="001A1B31" w:rsidRDefault="001A1B31" w:rsidP="00A93AB1">
      <w:pPr>
        <w:spacing w:before="0" w:line="360" w:lineRule="auto"/>
        <w:rPr>
          <w:szCs w:val="20"/>
        </w:rPr>
      </w:pPr>
    </w:p>
    <w:p w14:paraId="1DB1B952" w14:textId="105D275A" w:rsidR="224CC3C5" w:rsidRDefault="224CC3C5" w:rsidP="00A93AB1">
      <w:pPr>
        <w:spacing w:before="0" w:line="360" w:lineRule="auto"/>
        <w:rPr>
          <w:szCs w:val="20"/>
        </w:rPr>
      </w:pPr>
      <w:r w:rsidRPr="224CC3C5">
        <w:rPr>
          <w:szCs w:val="20"/>
        </w:rPr>
        <w:t xml:space="preserve">For those small businesses that invest in </w:t>
      </w:r>
      <w:r w:rsidR="005D3F01">
        <w:rPr>
          <w:szCs w:val="20"/>
        </w:rPr>
        <w:t xml:space="preserve">the </w:t>
      </w:r>
      <w:r w:rsidRPr="224CC3C5">
        <w:rPr>
          <w:szCs w:val="20"/>
        </w:rPr>
        <w:t xml:space="preserve">training of their employees, a tax deduction of 120% will be available. </w:t>
      </w:r>
    </w:p>
    <w:p w14:paraId="0E134723" w14:textId="77777777" w:rsidR="002E6C51" w:rsidRDefault="002E6C51" w:rsidP="00A93AB1">
      <w:pPr>
        <w:spacing w:before="0" w:line="360" w:lineRule="auto"/>
        <w:rPr>
          <w:szCs w:val="20"/>
        </w:rPr>
      </w:pPr>
    </w:p>
    <w:p w14:paraId="7D315FD8" w14:textId="77777777" w:rsidR="00202458" w:rsidRDefault="00202458" w:rsidP="00A93AB1">
      <w:pPr>
        <w:pStyle w:val="Header2"/>
        <w:spacing w:before="0" w:line="360" w:lineRule="auto"/>
      </w:pPr>
      <w:r>
        <w:t>Infrastructure</w:t>
      </w:r>
    </w:p>
    <w:p w14:paraId="6A36EFAE" w14:textId="401A28EE" w:rsidR="00202458" w:rsidRPr="00336965" w:rsidRDefault="00202458" w:rsidP="00A93AB1">
      <w:pPr>
        <w:spacing w:before="0" w:line="360" w:lineRule="auto"/>
      </w:pPr>
      <w:r>
        <w:t>The Budget provides an additional $17.9bn for road, rail, and community infrastructure projects across Australia. Much of this will flow through to businesses providing services, and to those seeking work in the sector.</w:t>
      </w:r>
    </w:p>
    <w:p w14:paraId="7232B24F" w14:textId="77777777" w:rsidR="000A79F3" w:rsidRDefault="000A79F3" w:rsidP="00A93AB1">
      <w:pPr>
        <w:pStyle w:val="Header1"/>
        <w:spacing w:before="0" w:line="360" w:lineRule="auto"/>
      </w:pPr>
    </w:p>
    <w:p w14:paraId="69DBB4D0" w14:textId="0B1F7196" w:rsidR="00202458" w:rsidRDefault="005D3F01" w:rsidP="00A93AB1">
      <w:pPr>
        <w:pStyle w:val="Header1"/>
        <w:spacing w:before="0" w:after="120" w:line="360" w:lineRule="auto"/>
      </w:pPr>
      <w:r>
        <w:t>Homeownership</w:t>
      </w:r>
    </w:p>
    <w:p w14:paraId="22085166" w14:textId="4C774DDE" w:rsidR="00202458" w:rsidRDefault="00202458" w:rsidP="00A93AB1">
      <w:pPr>
        <w:pStyle w:val="Header2"/>
        <w:spacing w:before="0" w:line="360" w:lineRule="auto"/>
      </w:pPr>
      <w:r>
        <w:t xml:space="preserve">New Home Guarantee </w:t>
      </w:r>
    </w:p>
    <w:p w14:paraId="62ED67D3" w14:textId="2D21F5EB" w:rsidR="00202458" w:rsidRDefault="5E7E0496" w:rsidP="00A93AB1">
      <w:pPr>
        <w:spacing w:before="0" w:line="360" w:lineRule="auto"/>
      </w:pPr>
      <w:r>
        <w:t xml:space="preserve">The Home Guarantee Scheme is to be expanded from 1 July 2022 by providing 35,000 guarantees each year. The Guarantee assists eligible first home buyers to purchase a new or existing home with a deposit as low as </w:t>
      </w:r>
      <w:r w:rsidR="0042742C">
        <w:t>five</w:t>
      </w:r>
      <w:r>
        <w:t xml:space="preserve"> per cent.</w:t>
      </w:r>
    </w:p>
    <w:p w14:paraId="061AB128" w14:textId="77777777" w:rsidR="00C15030" w:rsidRPr="00492CC6" w:rsidRDefault="00C15030" w:rsidP="00A93AB1">
      <w:pPr>
        <w:spacing w:before="0" w:line="360" w:lineRule="auto"/>
      </w:pPr>
    </w:p>
    <w:p w14:paraId="3E30FD9D" w14:textId="26C720E8" w:rsidR="5E7E0496" w:rsidRDefault="5E7E0496" w:rsidP="00A93AB1">
      <w:pPr>
        <w:spacing w:before="0" w:line="360" w:lineRule="auto"/>
        <w:rPr>
          <w:szCs w:val="20"/>
        </w:rPr>
      </w:pPr>
      <w:r w:rsidRPr="016A0DA7">
        <w:rPr>
          <w:szCs w:val="20"/>
        </w:rPr>
        <w:t>In addition, 10,000 guarantees will be provided each year from 1 October 2022 to 30 June 2025 under a new Regional Home Guarantee, supporting eligible home buyers to purchase or construct a new home in regional Australia. This will extend to non-first home buyers.</w:t>
      </w:r>
    </w:p>
    <w:p w14:paraId="46643BB5" w14:textId="77777777" w:rsidR="00C15030" w:rsidRDefault="00C15030" w:rsidP="00A93AB1">
      <w:pPr>
        <w:spacing w:before="0" w:line="360" w:lineRule="auto"/>
        <w:rPr>
          <w:szCs w:val="20"/>
        </w:rPr>
      </w:pPr>
    </w:p>
    <w:p w14:paraId="148116D9" w14:textId="203E8C3E" w:rsidR="5E9748FA" w:rsidRDefault="5E9748FA" w:rsidP="00A93AB1">
      <w:pPr>
        <w:spacing w:before="0" w:line="360" w:lineRule="auto"/>
        <w:rPr>
          <w:szCs w:val="20"/>
        </w:rPr>
      </w:pPr>
      <w:r w:rsidRPr="224CC3C5">
        <w:rPr>
          <w:szCs w:val="20"/>
        </w:rPr>
        <w:t xml:space="preserve">The Budget also expands the Family Home Guarantee announced in last year’s Budget by providing a further 5,000 guarantees each year from 1 July 2022 to 30 June 2025 to assist single people with children to purchase their first home or re-enter the housing market, with a deposit of as little as </w:t>
      </w:r>
      <w:r w:rsidR="0001301B">
        <w:rPr>
          <w:szCs w:val="20"/>
        </w:rPr>
        <w:t>two per cent</w:t>
      </w:r>
      <w:r w:rsidRPr="224CC3C5">
        <w:rPr>
          <w:szCs w:val="20"/>
        </w:rPr>
        <w:t>.</w:t>
      </w:r>
    </w:p>
    <w:p w14:paraId="32618F90" w14:textId="77777777" w:rsidR="00C15030" w:rsidRDefault="00C15030" w:rsidP="00A93AB1">
      <w:pPr>
        <w:spacing w:before="0" w:line="360" w:lineRule="auto"/>
        <w:rPr>
          <w:szCs w:val="20"/>
        </w:rPr>
      </w:pPr>
    </w:p>
    <w:p w14:paraId="554E4EB7" w14:textId="202C8268" w:rsidR="5E9748FA" w:rsidRDefault="5E9748FA" w:rsidP="00A93AB1">
      <w:pPr>
        <w:spacing w:before="0" w:line="360" w:lineRule="auto"/>
        <w:rPr>
          <w:szCs w:val="20"/>
        </w:rPr>
      </w:pPr>
      <w:r w:rsidRPr="224CC3C5">
        <w:rPr>
          <w:szCs w:val="20"/>
        </w:rPr>
        <w:t xml:space="preserve">Under the Home Guarantee Scheme, an eligible person’s home loan is guaranteed by the Government thereby allowing people to purchase a home on a lower deposit than might otherwise be required and avoiding the need to obtain </w:t>
      </w:r>
      <w:r w:rsidR="007F4F18">
        <w:rPr>
          <w:szCs w:val="20"/>
        </w:rPr>
        <w:t>lenders’</w:t>
      </w:r>
      <w:r w:rsidRPr="224CC3C5">
        <w:rPr>
          <w:szCs w:val="20"/>
        </w:rPr>
        <w:t xml:space="preserve"> mortgage insurance. </w:t>
      </w:r>
    </w:p>
    <w:p w14:paraId="04BE774C" w14:textId="77777777" w:rsidR="000A79F3" w:rsidRDefault="000A79F3" w:rsidP="00A93AB1">
      <w:pPr>
        <w:spacing w:before="0" w:line="360" w:lineRule="auto"/>
        <w:rPr>
          <w:szCs w:val="20"/>
        </w:rPr>
      </w:pPr>
    </w:p>
    <w:p w14:paraId="71552EF8" w14:textId="1DD8B3E0" w:rsidR="00202458" w:rsidRDefault="00202458" w:rsidP="00A93AB1">
      <w:pPr>
        <w:pStyle w:val="Header2"/>
        <w:spacing w:before="0" w:after="120" w:line="360" w:lineRule="auto"/>
        <w:rPr>
          <w:sz w:val="24"/>
          <w:szCs w:val="24"/>
        </w:rPr>
      </w:pPr>
      <w:r w:rsidRPr="224CC3C5">
        <w:rPr>
          <w:sz w:val="24"/>
          <w:szCs w:val="24"/>
        </w:rPr>
        <w:t>SOCIAL SECURITY</w:t>
      </w:r>
      <w:r w:rsidR="00286D4C" w:rsidRPr="224CC3C5">
        <w:rPr>
          <w:sz w:val="24"/>
          <w:szCs w:val="24"/>
        </w:rPr>
        <w:t xml:space="preserve"> </w:t>
      </w:r>
    </w:p>
    <w:p w14:paraId="7BDE9724" w14:textId="7A56593E" w:rsidR="0030111B" w:rsidRDefault="0030111B" w:rsidP="00A93AB1">
      <w:pPr>
        <w:pStyle w:val="Header2"/>
        <w:spacing w:before="0" w:line="360" w:lineRule="auto"/>
      </w:pPr>
      <w:r>
        <w:t>One-off $250 cash boost</w:t>
      </w:r>
    </w:p>
    <w:p w14:paraId="428221E1" w14:textId="70395A88" w:rsidR="0030111B" w:rsidRDefault="224CC3C5" w:rsidP="00A93AB1">
      <w:pPr>
        <w:spacing w:before="0" w:line="360" w:lineRule="auto"/>
      </w:pPr>
      <w:r w:rsidRPr="224CC3C5">
        <w:t xml:space="preserve">To help support pensioners, </w:t>
      </w:r>
      <w:proofErr w:type="spellStart"/>
      <w:r w:rsidRPr="224CC3C5">
        <w:t>allowees</w:t>
      </w:r>
      <w:proofErr w:type="spellEnd"/>
      <w:r w:rsidRPr="224CC3C5">
        <w:t>, and eligible concession cardholders with the increasing costs of living, the Government will provide a $250 cash payment in April this year.</w:t>
      </w:r>
    </w:p>
    <w:p w14:paraId="1CC7BB62" w14:textId="77777777" w:rsidR="00BE322B" w:rsidRDefault="00BE322B" w:rsidP="00A93AB1">
      <w:pPr>
        <w:spacing w:before="0" w:line="360" w:lineRule="auto"/>
        <w:rPr>
          <w:rFonts w:eastAsiaTheme="minorEastAsia"/>
          <w:szCs w:val="20"/>
        </w:rPr>
      </w:pPr>
    </w:p>
    <w:p w14:paraId="33C2A031" w14:textId="4BE4D953" w:rsidR="0030111B" w:rsidRDefault="224CC3C5" w:rsidP="00A93AB1">
      <w:pPr>
        <w:spacing w:before="0" w:line="360" w:lineRule="auto"/>
        <w:rPr>
          <w:rFonts w:eastAsiaTheme="minorEastAsia"/>
          <w:szCs w:val="20"/>
        </w:rPr>
      </w:pPr>
      <w:r w:rsidRPr="224CC3C5">
        <w:t>The payment will be available to recipients of the following benefits:</w:t>
      </w:r>
    </w:p>
    <w:p w14:paraId="102AA2B4" w14:textId="79D86587" w:rsidR="0030111B" w:rsidRDefault="224CC3C5" w:rsidP="00A93AB1">
      <w:pPr>
        <w:spacing w:before="0" w:line="360" w:lineRule="auto"/>
        <w:ind w:left="720"/>
        <w:rPr>
          <w:rFonts w:eastAsiaTheme="minorEastAsia"/>
          <w:szCs w:val="20"/>
        </w:rPr>
      </w:pPr>
      <w:r w:rsidRPr="224CC3C5">
        <w:t xml:space="preserve">• Age Pension </w:t>
      </w:r>
    </w:p>
    <w:p w14:paraId="0BBFE8A6" w14:textId="6B302F29" w:rsidR="0030111B" w:rsidRDefault="224CC3C5" w:rsidP="00A93AB1">
      <w:pPr>
        <w:spacing w:before="0" w:line="360" w:lineRule="auto"/>
        <w:ind w:left="720"/>
        <w:rPr>
          <w:rFonts w:eastAsiaTheme="minorEastAsia"/>
          <w:szCs w:val="20"/>
        </w:rPr>
      </w:pPr>
      <w:r w:rsidRPr="224CC3C5">
        <w:t xml:space="preserve">• Disability Support Pension </w:t>
      </w:r>
    </w:p>
    <w:p w14:paraId="5E16C976" w14:textId="5638C39F" w:rsidR="0030111B" w:rsidRDefault="224CC3C5" w:rsidP="00A93AB1">
      <w:pPr>
        <w:spacing w:before="0" w:line="360" w:lineRule="auto"/>
        <w:ind w:left="720"/>
        <w:rPr>
          <w:rFonts w:eastAsiaTheme="minorEastAsia"/>
          <w:szCs w:val="20"/>
        </w:rPr>
      </w:pPr>
      <w:r w:rsidRPr="224CC3C5">
        <w:t xml:space="preserve">• Parenting Payment </w:t>
      </w:r>
    </w:p>
    <w:p w14:paraId="041D713E" w14:textId="47796120" w:rsidR="0030111B" w:rsidRDefault="224CC3C5" w:rsidP="00A93AB1">
      <w:pPr>
        <w:spacing w:before="0" w:line="360" w:lineRule="auto"/>
        <w:ind w:left="720"/>
        <w:rPr>
          <w:rFonts w:eastAsiaTheme="minorEastAsia"/>
          <w:szCs w:val="20"/>
        </w:rPr>
      </w:pPr>
      <w:r w:rsidRPr="224CC3C5">
        <w:t xml:space="preserve">• Carer Payment </w:t>
      </w:r>
    </w:p>
    <w:p w14:paraId="3A6CAE34" w14:textId="2BFE175A" w:rsidR="0030111B" w:rsidRDefault="224CC3C5" w:rsidP="00A93AB1">
      <w:pPr>
        <w:spacing w:before="0" w:line="360" w:lineRule="auto"/>
        <w:ind w:left="720"/>
        <w:rPr>
          <w:rFonts w:eastAsiaTheme="minorEastAsia"/>
          <w:szCs w:val="20"/>
        </w:rPr>
      </w:pPr>
      <w:r w:rsidRPr="224CC3C5">
        <w:t xml:space="preserve">• Carer Allowance (if not in receipt of a primary income support payment) </w:t>
      </w:r>
    </w:p>
    <w:p w14:paraId="5F6510B7" w14:textId="56C32A22" w:rsidR="0030111B" w:rsidRDefault="224CC3C5" w:rsidP="00A93AB1">
      <w:pPr>
        <w:spacing w:before="0" w:line="360" w:lineRule="auto"/>
        <w:ind w:left="720"/>
        <w:rPr>
          <w:rFonts w:eastAsiaTheme="minorEastAsia"/>
          <w:szCs w:val="20"/>
        </w:rPr>
      </w:pPr>
      <w:r w:rsidRPr="224CC3C5">
        <w:t xml:space="preserve">• Jobseeker Payment </w:t>
      </w:r>
    </w:p>
    <w:p w14:paraId="3ACBB5B1" w14:textId="4CE1E8C7" w:rsidR="0030111B" w:rsidRDefault="224CC3C5" w:rsidP="00A93AB1">
      <w:pPr>
        <w:spacing w:before="0" w:line="360" w:lineRule="auto"/>
        <w:ind w:left="720"/>
        <w:rPr>
          <w:rFonts w:eastAsiaTheme="minorEastAsia"/>
          <w:szCs w:val="20"/>
        </w:rPr>
      </w:pPr>
      <w:r w:rsidRPr="224CC3C5">
        <w:t xml:space="preserve">• Youth Allowance </w:t>
      </w:r>
    </w:p>
    <w:p w14:paraId="3EA32B72" w14:textId="4E98FF48" w:rsidR="0030111B" w:rsidRDefault="224CC3C5" w:rsidP="00A93AB1">
      <w:pPr>
        <w:spacing w:before="0" w:line="360" w:lineRule="auto"/>
        <w:ind w:left="720"/>
        <w:rPr>
          <w:rFonts w:eastAsiaTheme="minorEastAsia"/>
          <w:szCs w:val="20"/>
        </w:rPr>
      </w:pPr>
      <w:r w:rsidRPr="224CC3C5">
        <w:t xml:space="preserve">• </w:t>
      </w:r>
      <w:proofErr w:type="spellStart"/>
      <w:r w:rsidRPr="224CC3C5">
        <w:t>Austudy</w:t>
      </w:r>
      <w:proofErr w:type="spellEnd"/>
      <w:r w:rsidRPr="224CC3C5">
        <w:t xml:space="preserve"> and </w:t>
      </w:r>
      <w:proofErr w:type="spellStart"/>
      <w:r w:rsidRPr="224CC3C5">
        <w:t>Abstudy</w:t>
      </w:r>
      <w:proofErr w:type="spellEnd"/>
      <w:r w:rsidRPr="224CC3C5">
        <w:t xml:space="preserve"> Living Allowance </w:t>
      </w:r>
    </w:p>
    <w:p w14:paraId="2B3E4ECF" w14:textId="7D1D347F" w:rsidR="0030111B" w:rsidRDefault="224CC3C5" w:rsidP="00A93AB1">
      <w:pPr>
        <w:spacing w:before="0" w:line="360" w:lineRule="auto"/>
        <w:ind w:left="720"/>
        <w:rPr>
          <w:rFonts w:eastAsiaTheme="minorEastAsia"/>
          <w:szCs w:val="20"/>
        </w:rPr>
      </w:pPr>
      <w:r w:rsidRPr="224CC3C5">
        <w:t xml:space="preserve">• Double Orphan Pension </w:t>
      </w:r>
    </w:p>
    <w:p w14:paraId="7501F99A" w14:textId="4D8457A1" w:rsidR="0030111B" w:rsidRDefault="224CC3C5" w:rsidP="00A93AB1">
      <w:pPr>
        <w:spacing w:before="0" w:line="360" w:lineRule="auto"/>
        <w:ind w:left="720"/>
        <w:rPr>
          <w:rFonts w:eastAsiaTheme="minorEastAsia"/>
          <w:szCs w:val="20"/>
        </w:rPr>
      </w:pPr>
      <w:r w:rsidRPr="224CC3C5">
        <w:t xml:space="preserve">• Special Benefit </w:t>
      </w:r>
    </w:p>
    <w:p w14:paraId="189076AC" w14:textId="2F3FD240" w:rsidR="0030111B" w:rsidRDefault="224CC3C5" w:rsidP="00A93AB1">
      <w:pPr>
        <w:spacing w:before="0" w:line="360" w:lineRule="auto"/>
        <w:ind w:left="720"/>
        <w:rPr>
          <w:rFonts w:eastAsiaTheme="minorEastAsia"/>
          <w:szCs w:val="20"/>
        </w:rPr>
      </w:pPr>
      <w:r w:rsidRPr="224CC3C5">
        <w:t xml:space="preserve">• Farm Household Allowance </w:t>
      </w:r>
    </w:p>
    <w:p w14:paraId="6C9763D7" w14:textId="60A6242A" w:rsidR="0030111B" w:rsidRDefault="224CC3C5" w:rsidP="00A93AB1">
      <w:pPr>
        <w:spacing w:before="0" w:line="360" w:lineRule="auto"/>
        <w:ind w:left="720"/>
        <w:rPr>
          <w:rFonts w:eastAsiaTheme="minorEastAsia"/>
          <w:szCs w:val="20"/>
        </w:rPr>
      </w:pPr>
      <w:r w:rsidRPr="224CC3C5">
        <w:t xml:space="preserve">• Pensioner Concession Card (PCC) holders </w:t>
      </w:r>
    </w:p>
    <w:p w14:paraId="71AE1977" w14:textId="5BE376B9" w:rsidR="0030111B" w:rsidRDefault="224CC3C5" w:rsidP="00A93AB1">
      <w:pPr>
        <w:spacing w:before="0" w:line="360" w:lineRule="auto"/>
        <w:ind w:left="720"/>
        <w:rPr>
          <w:rFonts w:eastAsiaTheme="minorEastAsia"/>
          <w:szCs w:val="20"/>
        </w:rPr>
      </w:pPr>
      <w:r w:rsidRPr="224CC3C5">
        <w:t xml:space="preserve">• Commonwealth Seniors Health </w:t>
      </w:r>
      <w:r w:rsidR="007F4F18">
        <w:t>Cardholders</w:t>
      </w:r>
      <w:r w:rsidRPr="224CC3C5">
        <w:t xml:space="preserve"> </w:t>
      </w:r>
    </w:p>
    <w:p w14:paraId="696CBC0E" w14:textId="198D9A28" w:rsidR="0030111B" w:rsidRDefault="224CC3C5" w:rsidP="00A93AB1">
      <w:pPr>
        <w:spacing w:before="0" w:line="360" w:lineRule="auto"/>
        <w:ind w:left="720"/>
      </w:pPr>
      <w:r w:rsidRPr="224CC3C5">
        <w:t xml:space="preserve">• </w:t>
      </w:r>
      <w:r w:rsidR="00465E3E">
        <w:t>E</w:t>
      </w:r>
      <w:r w:rsidRPr="224CC3C5">
        <w:t xml:space="preserve">ligible Veterans’ Affairs payment recipients and Veteran Gold </w:t>
      </w:r>
      <w:r w:rsidR="007F4F18">
        <w:t>cardholders</w:t>
      </w:r>
      <w:r w:rsidRPr="224CC3C5">
        <w:t xml:space="preserve">. </w:t>
      </w:r>
    </w:p>
    <w:p w14:paraId="5FECABF5" w14:textId="77777777" w:rsidR="007F4F18" w:rsidRDefault="007F4F18" w:rsidP="00A93AB1">
      <w:pPr>
        <w:spacing w:before="0" w:line="360" w:lineRule="auto"/>
        <w:ind w:left="720"/>
        <w:rPr>
          <w:rFonts w:eastAsiaTheme="minorEastAsia"/>
          <w:szCs w:val="20"/>
        </w:rPr>
      </w:pPr>
    </w:p>
    <w:p w14:paraId="06DE6B01" w14:textId="5E7FC958" w:rsidR="0030111B" w:rsidRDefault="224CC3C5" w:rsidP="00A93AB1">
      <w:pPr>
        <w:spacing w:before="0" w:line="360" w:lineRule="auto"/>
      </w:pPr>
      <w:r w:rsidRPr="224CC3C5">
        <w:t xml:space="preserve">This one-off payment will be received tax-free and will not count as assessable income when calculating income support entitlements. </w:t>
      </w:r>
    </w:p>
    <w:p w14:paraId="1B10C9DA" w14:textId="77777777" w:rsidR="00BE322B" w:rsidRDefault="00BE322B" w:rsidP="00A93AB1">
      <w:pPr>
        <w:spacing w:before="0" w:line="360" w:lineRule="auto"/>
        <w:rPr>
          <w:rFonts w:eastAsiaTheme="minorEastAsia"/>
          <w:szCs w:val="20"/>
        </w:rPr>
      </w:pPr>
    </w:p>
    <w:p w14:paraId="7440FAB3" w14:textId="219C34CD" w:rsidR="0030111B" w:rsidRDefault="224CC3C5" w:rsidP="00A93AB1">
      <w:pPr>
        <w:spacing w:before="0" w:line="360" w:lineRule="auto"/>
      </w:pPr>
      <w:r w:rsidRPr="224CC3C5">
        <w:t xml:space="preserve">Only one payment can be received per person, even if they are eligible under multiple categories outlined above. </w:t>
      </w:r>
    </w:p>
    <w:p w14:paraId="54C09148" w14:textId="77777777" w:rsidR="00BE322B" w:rsidRDefault="00BE322B" w:rsidP="00A93AB1">
      <w:pPr>
        <w:spacing w:before="0" w:line="360" w:lineRule="auto"/>
        <w:rPr>
          <w:rFonts w:ascii="Arial" w:hAnsi="Arial" w:cs="Arial"/>
          <w:color w:val="292A33"/>
          <w:szCs w:val="20"/>
        </w:rPr>
      </w:pPr>
    </w:p>
    <w:p w14:paraId="5BE53719" w14:textId="1167AC02" w:rsidR="00202458" w:rsidRDefault="00202458" w:rsidP="00A93AB1">
      <w:pPr>
        <w:pStyle w:val="Header2"/>
        <w:spacing w:before="0" w:line="360" w:lineRule="auto"/>
      </w:pPr>
      <w:r>
        <w:t>Paid parental leave expanded</w:t>
      </w:r>
    </w:p>
    <w:p w14:paraId="7CBB3890" w14:textId="1B991010" w:rsidR="224CC3C5" w:rsidRDefault="224CC3C5" w:rsidP="00A93AB1">
      <w:pPr>
        <w:spacing w:before="0" w:line="360" w:lineRule="auto"/>
        <w:rPr>
          <w:rFonts w:eastAsiaTheme="minorEastAsia"/>
          <w:szCs w:val="20"/>
        </w:rPr>
      </w:pPr>
      <w:r w:rsidRPr="224CC3C5">
        <w:rPr>
          <w:rFonts w:eastAsiaTheme="minorEastAsia"/>
          <w:szCs w:val="20"/>
        </w:rPr>
        <w:t xml:space="preserve">Under current rules, paid parental leave provides parents with up to 18 weeks of paid leave. An additional two </w:t>
      </w:r>
      <w:r w:rsidR="00974A24">
        <w:rPr>
          <w:rFonts w:eastAsiaTheme="minorEastAsia"/>
          <w:szCs w:val="20"/>
        </w:rPr>
        <w:t>weeks’</w:t>
      </w:r>
      <w:r w:rsidRPr="224CC3C5">
        <w:rPr>
          <w:rFonts w:eastAsiaTheme="minorEastAsia"/>
          <w:szCs w:val="20"/>
        </w:rPr>
        <w:t xml:space="preserve"> leave may also be available to partners eligible for Dad and Partner Pay, however</w:t>
      </w:r>
      <w:r w:rsidR="00974A24">
        <w:rPr>
          <w:rFonts w:eastAsiaTheme="minorEastAsia"/>
          <w:szCs w:val="20"/>
        </w:rPr>
        <w:t>,</w:t>
      </w:r>
      <w:r w:rsidRPr="224CC3C5">
        <w:rPr>
          <w:rFonts w:eastAsiaTheme="minorEastAsia"/>
          <w:szCs w:val="20"/>
        </w:rPr>
        <w:t xml:space="preserve"> the maximum available to single parents is 18 weeks.</w:t>
      </w:r>
    </w:p>
    <w:p w14:paraId="69F4987D" w14:textId="77777777" w:rsidR="00577C11" w:rsidRDefault="00577C11" w:rsidP="00A93AB1">
      <w:pPr>
        <w:spacing w:before="0" w:line="360" w:lineRule="auto"/>
        <w:rPr>
          <w:rFonts w:eastAsiaTheme="minorEastAsia"/>
          <w:szCs w:val="20"/>
        </w:rPr>
      </w:pPr>
    </w:p>
    <w:p w14:paraId="3AB22CD6" w14:textId="17FBCAD7" w:rsidR="224CC3C5" w:rsidRDefault="224CC3C5" w:rsidP="00A93AB1">
      <w:pPr>
        <w:spacing w:before="0" w:line="360" w:lineRule="auto"/>
        <w:rPr>
          <w:rFonts w:eastAsiaTheme="minorEastAsia"/>
          <w:szCs w:val="20"/>
        </w:rPr>
      </w:pPr>
      <w:r w:rsidRPr="224CC3C5">
        <w:rPr>
          <w:rFonts w:eastAsiaTheme="minorEastAsia"/>
          <w:szCs w:val="20"/>
        </w:rPr>
        <w:t xml:space="preserve">To improve the economic security </w:t>
      </w:r>
      <w:r w:rsidR="00974A24">
        <w:rPr>
          <w:rFonts w:eastAsiaTheme="minorEastAsia"/>
          <w:szCs w:val="20"/>
        </w:rPr>
        <w:t>of</w:t>
      </w:r>
      <w:r w:rsidRPr="224CC3C5">
        <w:rPr>
          <w:rFonts w:eastAsiaTheme="minorEastAsia"/>
          <w:szCs w:val="20"/>
        </w:rPr>
        <w:t xml:space="preserve"> parents, the Government has announced that a single scheme will be created by rolling Dad and Partner Pay into Parental Leave Pay. This scheme will provide up to 20 weeks of paid leave that is fully flexible and shareable for eligible working parents.</w:t>
      </w:r>
    </w:p>
    <w:p w14:paraId="559D0324" w14:textId="77777777" w:rsidR="00577C11" w:rsidRDefault="00577C11" w:rsidP="00A93AB1">
      <w:pPr>
        <w:spacing w:before="0" w:line="360" w:lineRule="auto"/>
        <w:rPr>
          <w:rFonts w:eastAsiaTheme="minorEastAsia"/>
          <w:szCs w:val="20"/>
        </w:rPr>
      </w:pPr>
    </w:p>
    <w:p w14:paraId="382FEB22" w14:textId="678ADF14" w:rsidR="224CC3C5" w:rsidRDefault="224CC3C5" w:rsidP="00A93AB1">
      <w:pPr>
        <w:spacing w:before="0" w:line="360" w:lineRule="auto"/>
        <w:rPr>
          <w:rFonts w:eastAsiaTheme="minorEastAsia"/>
          <w:szCs w:val="20"/>
        </w:rPr>
      </w:pPr>
      <w:r w:rsidRPr="224CC3C5">
        <w:rPr>
          <w:rFonts w:eastAsiaTheme="minorEastAsia"/>
          <w:szCs w:val="20"/>
        </w:rPr>
        <w:t>Eligible parents can take the paid leave any time within two years of the birth or adoption of their child. The income test will also be broadened to have an additional household income eligibility test.</w:t>
      </w:r>
    </w:p>
    <w:p w14:paraId="08EFCE1D" w14:textId="77777777" w:rsidR="00577C11" w:rsidRDefault="00577C11" w:rsidP="00A93AB1">
      <w:pPr>
        <w:spacing w:before="0" w:line="360" w:lineRule="auto"/>
        <w:rPr>
          <w:rFonts w:eastAsiaTheme="minorEastAsia"/>
          <w:szCs w:val="20"/>
        </w:rPr>
      </w:pPr>
    </w:p>
    <w:p w14:paraId="483F071C" w14:textId="47E89563" w:rsidR="00202458" w:rsidRPr="00CC5643" w:rsidRDefault="00202458" w:rsidP="00A93AB1">
      <w:pPr>
        <w:pStyle w:val="Header1"/>
        <w:spacing w:before="0" w:after="120" w:line="360" w:lineRule="auto"/>
      </w:pPr>
      <w:r>
        <w:t>superannuation</w:t>
      </w:r>
      <w:r w:rsidR="00286D4C">
        <w:t xml:space="preserve"> </w:t>
      </w:r>
    </w:p>
    <w:p w14:paraId="14261366" w14:textId="711439D9" w:rsidR="224CC3C5" w:rsidRDefault="224CC3C5" w:rsidP="00A93AB1">
      <w:pPr>
        <w:spacing w:before="0" w:line="360" w:lineRule="auto"/>
        <w:rPr>
          <w:szCs w:val="20"/>
        </w:rPr>
      </w:pPr>
      <w:r w:rsidRPr="224CC3C5">
        <w:rPr>
          <w:szCs w:val="20"/>
        </w:rPr>
        <w:t>This year’s Budget was light on superannuation announcements. The only announcement of note is the extension of the temporary reduction in minimum income payments.</w:t>
      </w:r>
      <w:r>
        <w:br/>
      </w:r>
    </w:p>
    <w:p w14:paraId="1A8FF8D7" w14:textId="797EFBAB" w:rsidR="0008454D" w:rsidRDefault="0008454D" w:rsidP="00A93AB1">
      <w:pPr>
        <w:pStyle w:val="ListParagraph"/>
        <w:spacing w:before="0" w:line="360" w:lineRule="auto"/>
        <w:ind w:left="0"/>
        <w:rPr>
          <w:rFonts w:ascii="Arial" w:hAnsi="Arial" w:cs="Arial"/>
        </w:rPr>
      </w:pPr>
      <w:r w:rsidRPr="224CC3C5">
        <w:rPr>
          <w:rFonts w:ascii="Arial" w:hAnsi="Arial" w:cs="Arial"/>
        </w:rPr>
        <w:t xml:space="preserve">The temporary 50% reduction in minimum pension payments </w:t>
      </w:r>
      <w:r w:rsidR="00873934" w:rsidRPr="224CC3C5">
        <w:rPr>
          <w:rFonts w:ascii="Arial" w:hAnsi="Arial" w:cs="Arial"/>
        </w:rPr>
        <w:t xml:space="preserve">that has been a feature of the superannuation landscape for the past few years has been extended to 30 June 2023. The discount applies to account-based pensions and </w:t>
      </w:r>
      <w:r w:rsidR="002041EB">
        <w:rPr>
          <w:rFonts w:ascii="Arial" w:hAnsi="Arial" w:cs="Arial"/>
        </w:rPr>
        <w:t>market-linked</w:t>
      </w:r>
      <w:r w:rsidR="00873934" w:rsidRPr="224CC3C5">
        <w:rPr>
          <w:rFonts w:ascii="Arial" w:hAnsi="Arial" w:cs="Arial"/>
        </w:rPr>
        <w:t xml:space="preserve"> income streams. The minimum prescribed income drawdown for account-based pensions for 2022-23 is as follows:</w:t>
      </w:r>
    </w:p>
    <w:p w14:paraId="60C72591" w14:textId="77777777" w:rsidR="006747E6" w:rsidRDefault="006747E6" w:rsidP="00A93AB1">
      <w:pPr>
        <w:pStyle w:val="ListParagraph"/>
        <w:spacing w:before="0" w:line="360" w:lineRule="auto"/>
        <w:ind w:left="0"/>
        <w:rPr>
          <w:rFonts w:ascii="Arial" w:hAnsi="Arial" w:cs="Arial"/>
        </w:rPr>
      </w:pPr>
    </w:p>
    <w:tbl>
      <w:tblPr>
        <w:tblStyle w:val="GridTable4-Accent1"/>
        <w:tblW w:w="0" w:type="auto"/>
        <w:tblLook w:val="04A0" w:firstRow="1" w:lastRow="0" w:firstColumn="1" w:lastColumn="0" w:noHBand="0" w:noVBand="1"/>
      </w:tblPr>
      <w:tblGrid>
        <w:gridCol w:w="3258"/>
        <w:gridCol w:w="3258"/>
      </w:tblGrid>
      <w:tr w:rsidR="006F3ACC" w14:paraId="19492D73" w14:textId="77777777" w:rsidTr="004B4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4CF22B3" w14:textId="3F168CCC" w:rsidR="006F3ACC" w:rsidRDefault="00391609" w:rsidP="00A93AB1">
            <w:pPr>
              <w:pStyle w:val="ListParagraph"/>
              <w:spacing w:before="0" w:line="360" w:lineRule="auto"/>
              <w:ind w:left="0"/>
              <w:rPr>
                <w:rFonts w:ascii="Arial" w:hAnsi="Arial" w:cs="Arial"/>
              </w:rPr>
            </w:pPr>
            <w:r>
              <w:rPr>
                <w:rFonts w:ascii="Arial" w:hAnsi="Arial" w:cs="Arial"/>
              </w:rPr>
              <w:t>AGE</w:t>
            </w:r>
          </w:p>
        </w:tc>
        <w:tc>
          <w:tcPr>
            <w:tcW w:w="3258" w:type="dxa"/>
          </w:tcPr>
          <w:p w14:paraId="0972EF0B" w14:textId="44A14546" w:rsidR="006F3ACC" w:rsidRDefault="00391609" w:rsidP="00A93AB1">
            <w:pPr>
              <w:pStyle w:val="ListParagraph"/>
              <w:spacing w:before="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MINIMUM DRAWDOWN RATE FOR 2022/2023 (%)</w:t>
            </w:r>
          </w:p>
        </w:tc>
      </w:tr>
      <w:tr w:rsidR="00EA6F09" w14:paraId="7DF4B499" w14:textId="77777777" w:rsidTr="004B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7614DF3" w14:textId="1FCCF94E" w:rsidR="00EA6F09" w:rsidRPr="003D5EB0" w:rsidRDefault="00EA6F09" w:rsidP="00A93AB1">
            <w:pPr>
              <w:pStyle w:val="ListParagraph"/>
              <w:spacing w:before="0" w:line="360" w:lineRule="auto"/>
              <w:ind w:left="0"/>
              <w:rPr>
                <w:rFonts w:ascii="Arial" w:hAnsi="Arial" w:cs="Arial"/>
                <w:b w:val="0"/>
                <w:bCs w:val="0"/>
              </w:rPr>
            </w:pPr>
            <w:r w:rsidRPr="003D5EB0">
              <w:rPr>
                <w:rFonts w:ascii="Arial" w:hAnsi="Arial" w:cs="Arial"/>
                <w:b w:val="0"/>
                <w:bCs w:val="0"/>
              </w:rPr>
              <w:t>Under 65</w:t>
            </w:r>
          </w:p>
        </w:tc>
        <w:tc>
          <w:tcPr>
            <w:tcW w:w="3258" w:type="dxa"/>
          </w:tcPr>
          <w:p w14:paraId="5AF82D74" w14:textId="5A685DE3" w:rsidR="00EA6F09" w:rsidRDefault="00EA6F09" w:rsidP="00A93AB1">
            <w:pPr>
              <w:pStyle w:val="ListParagraph"/>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16A0DA7">
              <w:rPr>
                <w:rFonts w:ascii="Arial" w:hAnsi="Arial" w:cs="Arial"/>
              </w:rPr>
              <w:t>2</w:t>
            </w:r>
          </w:p>
        </w:tc>
      </w:tr>
      <w:tr w:rsidR="00EA6F09" w14:paraId="5F057211" w14:textId="77777777" w:rsidTr="004B4B77">
        <w:tc>
          <w:tcPr>
            <w:cnfStyle w:val="001000000000" w:firstRow="0" w:lastRow="0" w:firstColumn="1" w:lastColumn="0" w:oddVBand="0" w:evenVBand="0" w:oddHBand="0" w:evenHBand="0" w:firstRowFirstColumn="0" w:firstRowLastColumn="0" w:lastRowFirstColumn="0" w:lastRowLastColumn="0"/>
            <w:tcW w:w="3258" w:type="dxa"/>
          </w:tcPr>
          <w:p w14:paraId="2FC13C48" w14:textId="1584F117" w:rsidR="00EA6F09" w:rsidRPr="003D5EB0" w:rsidRDefault="00EA6F09" w:rsidP="00A93AB1">
            <w:pPr>
              <w:pStyle w:val="ListParagraph"/>
              <w:spacing w:before="0" w:line="360" w:lineRule="auto"/>
              <w:ind w:left="0"/>
              <w:rPr>
                <w:rFonts w:ascii="Arial" w:hAnsi="Arial" w:cs="Arial"/>
                <w:b w:val="0"/>
                <w:bCs w:val="0"/>
              </w:rPr>
            </w:pPr>
            <w:r w:rsidRPr="003D5EB0">
              <w:rPr>
                <w:rFonts w:ascii="Arial" w:hAnsi="Arial" w:cs="Arial"/>
                <w:b w:val="0"/>
                <w:bCs w:val="0"/>
              </w:rPr>
              <w:t>65-74</w:t>
            </w:r>
          </w:p>
        </w:tc>
        <w:tc>
          <w:tcPr>
            <w:tcW w:w="3258" w:type="dxa"/>
          </w:tcPr>
          <w:p w14:paraId="233262CF" w14:textId="70E6A162" w:rsidR="00EA6F09" w:rsidRDefault="00EA6F09" w:rsidP="00A93AB1">
            <w:pPr>
              <w:pStyle w:val="ListParagraph"/>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16A0DA7">
              <w:rPr>
                <w:rFonts w:ascii="Arial" w:hAnsi="Arial" w:cs="Arial"/>
              </w:rPr>
              <w:t>2.5</w:t>
            </w:r>
          </w:p>
        </w:tc>
      </w:tr>
      <w:tr w:rsidR="00EA6F09" w14:paraId="005D45F1" w14:textId="77777777" w:rsidTr="004B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EF5F254" w14:textId="2821CB56" w:rsidR="00EA6F09" w:rsidRPr="003D5EB0" w:rsidRDefault="00EA6F09" w:rsidP="00A93AB1">
            <w:pPr>
              <w:pStyle w:val="ListParagraph"/>
              <w:spacing w:before="0" w:line="360" w:lineRule="auto"/>
              <w:ind w:left="0"/>
              <w:rPr>
                <w:rFonts w:ascii="Arial" w:hAnsi="Arial" w:cs="Arial"/>
                <w:b w:val="0"/>
                <w:bCs w:val="0"/>
              </w:rPr>
            </w:pPr>
            <w:r w:rsidRPr="003D5EB0">
              <w:rPr>
                <w:rFonts w:ascii="Arial" w:hAnsi="Arial" w:cs="Arial"/>
                <w:b w:val="0"/>
                <w:bCs w:val="0"/>
              </w:rPr>
              <w:t>75-79</w:t>
            </w:r>
          </w:p>
        </w:tc>
        <w:tc>
          <w:tcPr>
            <w:tcW w:w="3258" w:type="dxa"/>
          </w:tcPr>
          <w:p w14:paraId="6C5E7FE4" w14:textId="5ACA1739" w:rsidR="00EA6F09" w:rsidRDefault="00EA6F09" w:rsidP="00A93AB1">
            <w:pPr>
              <w:pStyle w:val="ListParagraph"/>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16A0DA7">
              <w:rPr>
                <w:rFonts w:ascii="Arial" w:hAnsi="Arial" w:cs="Arial"/>
              </w:rPr>
              <w:t>3</w:t>
            </w:r>
          </w:p>
        </w:tc>
      </w:tr>
      <w:tr w:rsidR="00EA6F09" w14:paraId="77A2A41D" w14:textId="77777777" w:rsidTr="004B4B77">
        <w:tc>
          <w:tcPr>
            <w:cnfStyle w:val="001000000000" w:firstRow="0" w:lastRow="0" w:firstColumn="1" w:lastColumn="0" w:oddVBand="0" w:evenVBand="0" w:oddHBand="0" w:evenHBand="0" w:firstRowFirstColumn="0" w:firstRowLastColumn="0" w:lastRowFirstColumn="0" w:lastRowLastColumn="0"/>
            <w:tcW w:w="3258" w:type="dxa"/>
          </w:tcPr>
          <w:p w14:paraId="1550E8A0" w14:textId="33825CC3" w:rsidR="00EA6F09" w:rsidRPr="003D5EB0" w:rsidRDefault="00EA6F09" w:rsidP="00A93AB1">
            <w:pPr>
              <w:pStyle w:val="ListParagraph"/>
              <w:spacing w:before="0" w:line="360" w:lineRule="auto"/>
              <w:ind w:left="0"/>
              <w:rPr>
                <w:rFonts w:ascii="Arial" w:hAnsi="Arial" w:cs="Arial"/>
                <w:b w:val="0"/>
                <w:bCs w:val="0"/>
              </w:rPr>
            </w:pPr>
            <w:r w:rsidRPr="003D5EB0">
              <w:rPr>
                <w:rFonts w:ascii="Arial" w:hAnsi="Arial" w:cs="Arial"/>
                <w:b w:val="0"/>
                <w:bCs w:val="0"/>
              </w:rPr>
              <w:t>80-84</w:t>
            </w:r>
          </w:p>
        </w:tc>
        <w:tc>
          <w:tcPr>
            <w:tcW w:w="3258" w:type="dxa"/>
          </w:tcPr>
          <w:p w14:paraId="5BF8ECD6" w14:textId="15E9D1D5" w:rsidR="00EA6F09" w:rsidRDefault="00EA6F09" w:rsidP="00A93AB1">
            <w:pPr>
              <w:pStyle w:val="ListParagraph"/>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16A0DA7">
              <w:rPr>
                <w:rFonts w:ascii="Arial" w:hAnsi="Arial" w:cs="Arial"/>
              </w:rPr>
              <w:t>3.5</w:t>
            </w:r>
          </w:p>
        </w:tc>
      </w:tr>
      <w:tr w:rsidR="00EA6F09" w14:paraId="3E20E67A" w14:textId="77777777" w:rsidTr="004B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57EDECD" w14:textId="2B2D795C" w:rsidR="00EA6F09" w:rsidRPr="003D5EB0" w:rsidRDefault="00EA6F09" w:rsidP="00A93AB1">
            <w:pPr>
              <w:pStyle w:val="ListParagraph"/>
              <w:spacing w:before="0" w:line="360" w:lineRule="auto"/>
              <w:ind w:left="0"/>
              <w:rPr>
                <w:rFonts w:ascii="Arial" w:hAnsi="Arial" w:cs="Arial"/>
                <w:b w:val="0"/>
                <w:bCs w:val="0"/>
              </w:rPr>
            </w:pPr>
            <w:r w:rsidRPr="003D5EB0">
              <w:rPr>
                <w:rFonts w:ascii="Arial" w:hAnsi="Arial" w:cs="Arial"/>
                <w:b w:val="0"/>
                <w:bCs w:val="0"/>
              </w:rPr>
              <w:t>85-89</w:t>
            </w:r>
          </w:p>
        </w:tc>
        <w:tc>
          <w:tcPr>
            <w:tcW w:w="3258" w:type="dxa"/>
          </w:tcPr>
          <w:p w14:paraId="5F363876" w14:textId="46238FFA" w:rsidR="00EA6F09" w:rsidRDefault="00EA6F09" w:rsidP="00A93AB1">
            <w:pPr>
              <w:pStyle w:val="ListParagraph"/>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16A0DA7">
              <w:rPr>
                <w:rFonts w:ascii="Arial" w:hAnsi="Arial" w:cs="Arial"/>
              </w:rPr>
              <w:t>4.5</w:t>
            </w:r>
          </w:p>
        </w:tc>
      </w:tr>
      <w:tr w:rsidR="00EA6F09" w14:paraId="6B8226BF" w14:textId="77777777" w:rsidTr="004B4B77">
        <w:tc>
          <w:tcPr>
            <w:cnfStyle w:val="001000000000" w:firstRow="0" w:lastRow="0" w:firstColumn="1" w:lastColumn="0" w:oddVBand="0" w:evenVBand="0" w:oddHBand="0" w:evenHBand="0" w:firstRowFirstColumn="0" w:firstRowLastColumn="0" w:lastRowFirstColumn="0" w:lastRowLastColumn="0"/>
            <w:tcW w:w="3258" w:type="dxa"/>
          </w:tcPr>
          <w:p w14:paraId="0F36A779" w14:textId="0A959412" w:rsidR="00EA6F09" w:rsidRPr="003D5EB0" w:rsidRDefault="00EA6F09" w:rsidP="00A93AB1">
            <w:pPr>
              <w:pStyle w:val="ListParagraph"/>
              <w:spacing w:before="0" w:line="360" w:lineRule="auto"/>
              <w:ind w:left="0"/>
              <w:rPr>
                <w:rFonts w:ascii="Arial" w:hAnsi="Arial" w:cs="Arial"/>
                <w:b w:val="0"/>
                <w:bCs w:val="0"/>
              </w:rPr>
            </w:pPr>
            <w:r w:rsidRPr="003D5EB0">
              <w:rPr>
                <w:rFonts w:ascii="Arial" w:hAnsi="Arial" w:cs="Arial"/>
                <w:b w:val="0"/>
                <w:bCs w:val="0"/>
              </w:rPr>
              <w:t>90-94</w:t>
            </w:r>
          </w:p>
        </w:tc>
        <w:tc>
          <w:tcPr>
            <w:tcW w:w="3258" w:type="dxa"/>
          </w:tcPr>
          <w:p w14:paraId="3EC37592" w14:textId="5D573B1E" w:rsidR="00EA6F09" w:rsidRDefault="00EA6F09" w:rsidP="00A93AB1">
            <w:pPr>
              <w:pStyle w:val="ListParagraph"/>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16A0DA7">
              <w:rPr>
                <w:rFonts w:ascii="Arial" w:hAnsi="Arial" w:cs="Arial"/>
              </w:rPr>
              <w:t>5.5</w:t>
            </w:r>
          </w:p>
        </w:tc>
      </w:tr>
      <w:tr w:rsidR="00EA6F09" w14:paraId="72E2D5E3" w14:textId="77777777" w:rsidTr="004B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B155CE0" w14:textId="275E1B41" w:rsidR="00EA6F09" w:rsidRPr="003D5EB0" w:rsidRDefault="00EA6F09" w:rsidP="00A93AB1">
            <w:pPr>
              <w:pStyle w:val="ListParagraph"/>
              <w:spacing w:before="0" w:line="360" w:lineRule="auto"/>
              <w:ind w:left="0"/>
              <w:rPr>
                <w:rFonts w:ascii="Arial" w:hAnsi="Arial" w:cs="Arial"/>
                <w:b w:val="0"/>
                <w:bCs w:val="0"/>
              </w:rPr>
            </w:pPr>
            <w:r w:rsidRPr="003D5EB0">
              <w:rPr>
                <w:rFonts w:ascii="Arial" w:hAnsi="Arial" w:cs="Arial"/>
                <w:b w:val="0"/>
                <w:bCs w:val="0"/>
              </w:rPr>
              <w:t>95 or over</w:t>
            </w:r>
          </w:p>
        </w:tc>
        <w:tc>
          <w:tcPr>
            <w:tcW w:w="3258" w:type="dxa"/>
          </w:tcPr>
          <w:p w14:paraId="7D99085D" w14:textId="7683CACE" w:rsidR="00EA6F09" w:rsidRDefault="00EA6F09" w:rsidP="00A93AB1">
            <w:pPr>
              <w:pStyle w:val="ListParagraph"/>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16A0DA7">
              <w:rPr>
                <w:rFonts w:ascii="Arial" w:hAnsi="Arial" w:cs="Arial"/>
              </w:rPr>
              <w:t>7</w:t>
            </w:r>
          </w:p>
        </w:tc>
      </w:tr>
    </w:tbl>
    <w:p w14:paraId="1484F6CB" w14:textId="77777777" w:rsidR="0008454D" w:rsidRPr="003D5EB0" w:rsidRDefault="0008454D" w:rsidP="00A93AB1">
      <w:pPr>
        <w:spacing w:before="0" w:line="360" w:lineRule="auto"/>
        <w:rPr>
          <w:rFonts w:ascii="Arial" w:hAnsi="Arial" w:cs="Arial"/>
          <w:sz w:val="24"/>
          <w:szCs w:val="24"/>
        </w:rPr>
      </w:pPr>
      <w:r w:rsidRPr="003D5EB0">
        <w:rPr>
          <w:rFonts w:ascii="Arial" w:hAnsi="Arial" w:cs="Arial"/>
          <w:sz w:val="24"/>
          <w:szCs w:val="24"/>
        </w:rPr>
        <w:t xml:space="preserve">   </w:t>
      </w:r>
    </w:p>
    <w:p w14:paraId="06523717" w14:textId="7B43FDE0" w:rsidR="00202458" w:rsidRDefault="00202458" w:rsidP="00A93AB1">
      <w:pPr>
        <w:pStyle w:val="Header1"/>
        <w:spacing w:before="0" w:after="120" w:line="360" w:lineRule="auto"/>
      </w:pPr>
      <w:r>
        <w:lastRenderedPageBreak/>
        <w:t>Taxation</w:t>
      </w:r>
      <w:r w:rsidR="00286D4C">
        <w:t xml:space="preserve"> </w:t>
      </w:r>
    </w:p>
    <w:p w14:paraId="1B1813B9" w14:textId="77777777" w:rsidR="00202458" w:rsidRDefault="00202458" w:rsidP="00A93AB1">
      <w:pPr>
        <w:pStyle w:val="Header2"/>
        <w:spacing w:before="0" w:line="360" w:lineRule="auto"/>
      </w:pPr>
      <w:r>
        <w:t>Low and middle-income tax offset</w:t>
      </w:r>
    </w:p>
    <w:p w14:paraId="05B953B0" w14:textId="77777777" w:rsidR="00202458" w:rsidRPr="0039526D" w:rsidRDefault="00202458" w:rsidP="00A93AB1">
      <w:pPr>
        <w:spacing w:before="0" w:line="360" w:lineRule="auto"/>
      </w:pPr>
      <w:r w:rsidRPr="0039526D">
        <w:t>Introduced back on 1 July 2018, the low and middle-income tax offset is a temporary measure that provides a tax offset of between $255 and $1,080 for taxpayers with taxable income of up to $126,000.</w:t>
      </w:r>
    </w:p>
    <w:p w14:paraId="6B824DEB" w14:textId="77777777" w:rsidR="00D2326B" w:rsidRDefault="00D2326B" w:rsidP="00A93AB1">
      <w:pPr>
        <w:spacing w:before="0" w:line="360" w:lineRule="auto"/>
      </w:pPr>
    </w:p>
    <w:p w14:paraId="149F192D" w14:textId="5F9829A3" w:rsidR="00202458" w:rsidRDefault="00202458" w:rsidP="00A93AB1">
      <w:pPr>
        <w:spacing w:before="0" w:line="360" w:lineRule="auto"/>
      </w:pPr>
      <w:r>
        <w:t xml:space="preserve">The low and middle-income tax offset </w:t>
      </w:r>
      <w:r w:rsidR="008E4271">
        <w:t xml:space="preserve">will finish on 30 June 2022 however the Budget allows for an increase of up to a further $420, making the total offset $1,500, for the 2021-22 financial year. </w:t>
      </w:r>
    </w:p>
    <w:p w14:paraId="32547099" w14:textId="77777777" w:rsidR="00D2326B" w:rsidRDefault="00D2326B" w:rsidP="00A93AB1">
      <w:pPr>
        <w:spacing w:before="0" w:line="360" w:lineRule="auto"/>
      </w:pPr>
    </w:p>
    <w:p w14:paraId="5ED21F30" w14:textId="1C7B7C8A" w:rsidR="224CC3C5" w:rsidRDefault="224CC3C5" w:rsidP="00A93AB1">
      <w:pPr>
        <w:spacing w:before="0" w:line="360" w:lineRule="auto"/>
        <w:rPr>
          <w:szCs w:val="20"/>
        </w:rPr>
      </w:pPr>
      <w:r w:rsidRPr="224CC3C5">
        <w:rPr>
          <w:szCs w:val="20"/>
        </w:rPr>
        <w:t xml:space="preserve">This will be available once taxpayers lodge their 2021-22 income tax </w:t>
      </w:r>
      <w:r w:rsidR="00820A62">
        <w:rPr>
          <w:szCs w:val="20"/>
        </w:rPr>
        <w:t>returns</w:t>
      </w:r>
      <w:r w:rsidRPr="224CC3C5">
        <w:rPr>
          <w:szCs w:val="20"/>
        </w:rPr>
        <w:t xml:space="preserve">. </w:t>
      </w:r>
    </w:p>
    <w:p w14:paraId="2E9D0A33" w14:textId="77777777" w:rsidR="00D2326B" w:rsidRDefault="00D2326B" w:rsidP="00A93AB1">
      <w:pPr>
        <w:spacing w:before="0" w:line="360" w:lineRule="auto"/>
        <w:rPr>
          <w:szCs w:val="20"/>
        </w:rPr>
      </w:pPr>
    </w:p>
    <w:p w14:paraId="0DA3974F" w14:textId="375D6710" w:rsidR="224CC3C5" w:rsidRDefault="224CC3C5" w:rsidP="00A93AB1">
      <w:pPr>
        <w:spacing w:before="0" w:line="360" w:lineRule="auto"/>
        <w:rPr>
          <w:szCs w:val="20"/>
        </w:rPr>
      </w:pPr>
      <w:r w:rsidRPr="224CC3C5">
        <w:rPr>
          <w:rFonts w:ascii="Arial" w:eastAsia="Arial" w:hAnsi="Arial" w:cs="Arial"/>
          <w:b/>
          <w:bCs/>
          <w:color w:val="1ED2E6" w:themeColor="accent1"/>
          <w:sz w:val="22"/>
          <w:szCs w:val="22"/>
        </w:rPr>
        <w:t>Costs of COVID</w:t>
      </w:r>
      <w:r w:rsidR="00F8680A">
        <w:rPr>
          <w:rFonts w:ascii="Arial" w:eastAsia="Arial" w:hAnsi="Arial" w:cs="Arial"/>
          <w:b/>
          <w:bCs/>
          <w:color w:val="1ED2E6" w:themeColor="accent1"/>
          <w:sz w:val="22"/>
          <w:szCs w:val="22"/>
        </w:rPr>
        <w:t>-19</w:t>
      </w:r>
      <w:r w:rsidRPr="224CC3C5">
        <w:rPr>
          <w:rFonts w:ascii="Arial" w:eastAsia="Arial" w:hAnsi="Arial" w:cs="Arial"/>
          <w:b/>
          <w:bCs/>
          <w:color w:val="1ED2E6" w:themeColor="accent1"/>
          <w:sz w:val="22"/>
          <w:szCs w:val="22"/>
        </w:rPr>
        <w:t xml:space="preserve"> Tests</w:t>
      </w:r>
    </w:p>
    <w:p w14:paraId="5D971522" w14:textId="452CD50D" w:rsidR="224CC3C5" w:rsidRDefault="224CC3C5" w:rsidP="00A93AB1">
      <w:pPr>
        <w:spacing w:before="0" w:line="360" w:lineRule="auto"/>
        <w:rPr>
          <w:rFonts w:ascii="Arial" w:eastAsia="Arial" w:hAnsi="Arial" w:cs="Arial"/>
          <w:szCs w:val="20"/>
        </w:rPr>
      </w:pPr>
      <w:r w:rsidRPr="224CC3C5">
        <w:rPr>
          <w:rFonts w:ascii="Arial" w:eastAsia="Arial" w:hAnsi="Arial" w:cs="Arial"/>
          <w:szCs w:val="20"/>
        </w:rPr>
        <w:t>The cost of COVID</w:t>
      </w:r>
      <w:r w:rsidR="00F8680A">
        <w:rPr>
          <w:rFonts w:ascii="Arial" w:eastAsia="Arial" w:hAnsi="Arial" w:cs="Arial"/>
          <w:szCs w:val="20"/>
        </w:rPr>
        <w:t>-19</w:t>
      </w:r>
      <w:r w:rsidRPr="224CC3C5">
        <w:rPr>
          <w:rFonts w:ascii="Arial" w:eastAsia="Arial" w:hAnsi="Arial" w:cs="Arial"/>
          <w:szCs w:val="20"/>
        </w:rPr>
        <w:t xml:space="preserve"> tests will be </w:t>
      </w:r>
      <w:r w:rsidR="00820A62">
        <w:rPr>
          <w:rFonts w:ascii="Arial" w:eastAsia="Arial" w:hAnsi="Arial" w:cs="Arial"/>
          <w:szCs w:val="20"/>
        </w:rPr>
        <w:t>tax-deductible</w:t>
      </w:r>
      <w:r w:rsidRPr="224CC3C5">
        <w:rPr>
          <w:rFonts w:ascii="Arial" w:eastAsia="Arial" w:hAnsi="Arial" w:cs="Arial"/>
          <w:szCs w:val="20"/>
        </w:rPr>
        <w:t xml:space="preserve"> to taxpayers where the tests are required to attend a place of employment.</w:t>
      </w:r>
    </w:p>
    <w:p w14:paraId="77BC782F" w14:textId="77777777" w:rsidR="00D2326B" w:rsidRDefault="00D2326B" w:rsidP="00A93AB1">
      <w:pPr>
        <w:spacing w:before="0" w:line="360" w:lineRule="auto"/>
        <w:rPr>
          <w:rFonts w:ascii="Arial" w:eastAsia="Arial" w:hAnsi="Arial" w:cs="Arial"/>
          <w:szCs w:val="20"/>
        </w:rPr>
      </w:pPr>
    </w:p>
    <w:p w14:paraId="3ED0CB99" w14:textId="5001BCD0" w:rsidR="224CC3C5" w:rsidRDefault="224CC3C5" w:rsidP="00A93AB1">
      <w:pPr>
        <w:spacing w:before="0" w:line="360" w:lineRule="auto"/>
        <w:rPr>
          <w:rFonts w:ascii="Arial" w:eastAsia="Arial" w:hAnsi="Arial" w:cs="Arial"/>
          <w:szCs w:val="20"/>
        </w:rPr>
      </w:pPr>
      <w:r w:rsidRPr="224CC3C5">
        <w:rPr>
          <w:rFonts w:ascii="Arial" w:eastAsia="Arial" w:hAnsi="Arial" w:cs="Arial"/>
          <w:szCs w:val="20"/>
        </w:rPr>
        <w:t>Where employers provide COVID</w:t>
      </w:r>
      <w:r w:rsidR="008649A0">
        <w:rPr>
          <w:rFonts w:ascii="Arial" w:eastAsia="Arial" w:hAnsi="Arial" w:cs="Arial"/>
          <w:szCs w:val="20"/>
        </w:rPr>
        <w:t>-19</w:t>
      </w:r>
      <w:r w:rsidRPr="224CC3C5">
        <w:rPr>
          <w:rFonts w:ascii="Arial" w:eastAsia="Arial" w:hAnsi="Arial" w:cs="Arial"/>
          <w:szCs w:val="20"/>
        </w:rPr>
        <w:t xml:space="preserve"> testing for their employees, the cost of the tests will be exempt from fringe benefits tax. </w:t>
      </w:r>
    </w:p>
    <w:p w14:paraId="1B8521AE" w14:textId="77777777" w:rsidR="00D2326B" w:rsidRDefault="00D2326B" w:rsidP="00A93AB1">
      <w:pPr>
        <w:spacing w:before="0" w:line="360" w:lineRule="auto"/>
        <w:rPr>
          <w:rFonts w:ascii="Arial" w:eastAsia="Arial" w:hAnsi="Arial" w:cs="Arial"/>
          <w:szCs w:val="20"/>
        </w:rPr>
      </w:pPr>
    </w:p>
    <w:p w14:paraId="1FE80832" w14:textId="77777777" w:rsidR="00202458" w:rsidRDefault="00202458" w:rsidP="00A93AB1">
      <w:pPr>
        <w:pStyle w:val="Header2"/>
        <w:spacing w:before="0" w:line="360" w:lineRule="auto"/>
      </w:pPr>
      <w:r>
        <w:t>Medicare levy low-income threshold</w:t>
      </w:r>
    </w:p>
    <w:p w14:paraId="238F3BBC" w14:textId="13634DB7" w:rsidR="00202458" w:rsidRDefault="00202458" w:rsidP="00A93AB1">
      <w:pPr>
        <w:spacing w:before="0" w:line="360" w:lineRule="auto"/>
      </w:pPr>
      <w:r>
        <w:t xml:space="preserve">The Medicare low-income threshold for singles, families, </w:t>
      </w:r>
      <w:proofErr w:type="gramStart"/>
      <w:r>
        <w:t>seniors</w:t>
      </w:r>
      <w:proofErr w:type="gramEnd"/>
      <w:r>
        <w:t xml:space="preserve"> and pensioners will increase from 1 July 2021. </w:t>
      </w:r>
    </w:p>
    <w:p w14:paraId="3E5C9EE9" w14:textId="77777777" w:rsidR="00D2326B" w:rsidRDefault="00D2326B" w:rsidP="00A93AB1">
      <w:pPr>
        <w:spacing w:before="0" w:line="360" w:lineRule="auto"/>
      </w:pPr>
    </w:p>
    <w:p w14:paraId="48F35F68" w14:textId="6FFD8DAB" w:rsidR="00202458" w:rsidRDefault="00202458" w:rsidP="00A93AB1">
      <w:pPr>
        <w:spacing w:before="0" w:line="360" w:lineRule="auto"/>
      </w:pPr>
      <w:r>
        <w:t>For example, the family threshold for seniors and pensioners will increase to $51,401 (up from $51,094).</w:t>
      </w:r>
    </w:p>
    <w:p w14:paraId="4B8B0D3F" w14:textId="77777777" w:rsidR="00D2326B" w:rsidRPr="003C0295" w:rsidRDefault="00D2326B" w:rsidP="00A93AB1">
      <w:pPr>
        <w:spacing w:before="0" w:line="360" w:lineRule="auto"/>
      </w:pPr>
    </w:p>
    <w:p w14:paraId="0F67AC6D" w14:textId="6D1478FE" w:rsidR="224CC3C5" w:rsidRDefault="224CC3C5" w:rsidP="00A93AB1">
      <w:pPr>
        <w:spacing w:before="0" w:line="360" w:lineRule="auto"/>
        <w:rPr>
          <w:szCs w:val="20"/>
        </w:rPr>
      </w:pPr>
      <w:r w:rsidRPr="224CC3C5">
        <w:rPr>
          <w:rFonts w:ascii="Arial" w:eastAsia="Arial" w:hAnsi="Arial" w:cs="Arial"/>
          <w:b/>
          <w:bCs/>
          <w:color w:val="1ED2E6" w:themeColor="accent1"/>
          <w:sz w:val="22"/>
          <w:szCs w:val="22"/>
        </w:rPr>
        <w:t>Fuel Excise</w:t>
      </w:r>
    </w:p>
    <w:p w14:paraId="2198843E" w14:textId="442C738D" w:rsidR="224CC3C5" w:rsidRDefault="224CC3C5" w:rsidP="00A93AB1">
      <w:pPr>
        <w:spacing w:before="0" w:line="360" w:lineRule="auto"/>
        <w:rPr>
          <w:rFonts w:ascii="Arial" w:eastAsia="Arial" w:hAnsi="Arial" w:cs="Arial"/>
          <w:szCs w:val="20"/>
        </w:rPr>
      </w:pPr>
      <w:r w:rsidRPr="224CC3C5">
        <w:rPr>
          <w:rFonts w:ascii="Arial" w:eastAsia="Arial" w:hAnsi="Arial" w:cs="Arial"/>
          <w:szCs w:val="20"/>
        </w:rPr>
        <w:t>In recent months, Australians have experienced significant increases in the cost of fuel with prices exceeding $2 per litre being commonplace.</w:t>
      </w:r>
    </w:p>
    <w:p w14:paraId="6B910FED" w14:textId="77777777" w:rsidR="00D2326B" w:rsidRDefault="00D2326B" w:rsidP="00A93AB1">
      <w:pPr>
        <w:spacing w:before="0" w:line="360" w:lineRule="auto"/>
        <w:rPr>
          <w:rFonts w:ascii="Arial" w:eastAsia="Arial" w:hAnsi="Arial" w:cs="Arial"/>
          <w:szCs w:val="20"/>
        </w:rPr>
      </w:pPr>
    </w:p>
    <w:p w14:paraId="593F7FAA" w14:textId="3087FA10" w:rsidR="224CC3C5" w:rsidRDefault="224CC3C5" w:rsidP="00A93AB1">
      <w:pPr>
        <w:spacing w:before="0" w:line="360" w:lineRule="auto"/>
        <w:rPr>
          <w:rFonts w:ascii="Arial" w:eastAsia="Arial" w:hAnsi="Arial" w:cs="Arial"/>
          <w:szCs w:val="20"/>
        </w:rPr>
      </w:pPr>
      <w:r w:rsidRPr="224CC3C5">
        <w:rPr>
          <w:rFonts w:ascii="Arial" w:eastAsia="Arial" w:hAnsi="Arial" w:cs="Arial"/>
          <w:szCs w:val="20"/>
        </w:rPr>
        <w:t xml:space="preserve">The Government has responded by announcing a temporary reduction in the fuel excise rate. The rate will reduce from the current 44.2 cents per litre to 22.1 cents per litre. The reduction will apply from 30 March 2022 and will continue until 28 September 2022. </w:t>
      </w:r>
    </w:p>
    <w:p w14:paraId="6B093095" w14:textId="77777777" w:rsidR="00D2326B" w:rsidRDefault="00D2326B" w:rsidP="00A93AB1">
      <w:pPr>
        <w:spacing w:before="0" w:line="360" w:lineRule="auto"/>
        <w:rPr>
          <w:rFonts w:ascii="Arial" w:eastAsia="Arial" w:hAnsi="Arial" w:cs="Arial"/>
          <w:szCs w:val="20"/>
        </w:rPr>
      </w:pPr>
    </w:p>
    <w:p w14:paraId="6EEC7118" w14:textId="371CE851" w:rsidR="224CC3C5" w:rsidRDefault="224CC3C5" w:rsidP="00A93AB1">
      <w:pPr>
        <w:spacing w:before="0" w:line="360" w:lineRule="auto"/>
        <w:rPr>
          <w:rFonts w:ascii="Arial" w:eastAsia="Arial" w:hAnsi="Arial" w:cs="Arial"/>
          <w:szCs w:val="20"/>
        </w:rPr>
      </w:pPr>
      <w:r w:rsidRPr="224CC3C5">
        <w:rPr>
          <w:rFonts w:ascii="Arial" w:eastAsia="Arial" w:hAnsi="Arial" w:cs="Arial"/>
          <w:szCs w:val="20"/>
        </w:rPr>
        <w:t xml:space="preserve">Provided the full discount is passed on to motorists at the pump, this will reduce the cost of a 60-litre tank of fuel by just over $13. </w:t>
      </w:r>
    </w:p>
    <w:p w14:paraId="267009DD" w14:textId="77777777" w:rsidR="000A79F3" w:rsidRDefault="000A79F3" w:rsidP="00A93AB1">
      <w:pPr>
        <w:pStyle w:val="Header1"/>
        <w:spacing w:before="0" w:line="360" w:lineRule="auto"/>
      </w:pPr>
    </w:p>
    <w:p w14:paraId="3B9FF6E4" w14:textId="19F350D0" w:rsidR="00202458" w:rsidRDefault="00202458" w:rsidP="00A93AB1">
      <w:pPr>
        <w:pStyle w:val="Header1"/>
        <w:spacing w:before="0" w:after="120" w:line="360" w:lineRule="auto"/>
      </w:pPr>
      <w:r>
        <w:t>Women</w:t>
      </w:r>
    </w:p>
    <w:p w14:paraId="02CF6811" w14:textId="77777777" w:rsidR="00202458" w:rsidRDefault="00202458" w:rsidP="00A93AB1">
      <w:pPr>
        <w:spacing w:before="0" w:line="360" w:lineRule="auto"/>
      </w:pPr>
      <w:r>
        <w:t>The Budget included a specific focus on measures specifically targeting women. These include:</w:t>
      </w:r>
    </w:p>
    <w:p w14:paraId="5610F997" w14:textId="77777777" w:rsidR="00D2326B" w:rsidRDefault="00D2326B" w:rsidP="00A93AB1">
      <w:pPr>
        <w:spacing w:before="0" w:line="360" w:lineRule="auto"/>
      </w:pPr>
    </w:p>
    <w:p w14:paraId="69D8027B" w14:textId="77777777" w:rsidR="00202458" w:rsidRDefault="00202458" w:rsidP="00A93AB1">
      <w:pPr>
        <w:pStyle w:val="Header2"/>
        <w:spacing w:before="0" w:line="360" w:lineRule="auto"/>
      </w:pPr>
      <w:r>
        <w:lastRenderedPageBreak/>
        <w:t>Women’s safety</w:t>
      </w:r>
    </w:p>
    <w:p w14:paraId="7C4BEFCA" w14:textId="63D17AEF" w:rsidR="00D01B7C" w:rsidRDefault="00202458" w:rsidP="00A93AB1">
      <w:pPr>
        <w:spacing w:before="0" w:line="360" w:lineRule="auto"/>
      </w:pPr>
      <w:r>
        <w:t xml:space="preserve">Building on the $1.1bn announced in last year’s Budget, the Government has committed a further $1.3bn to drive change under the next </w:t>
      </w:r>
      <w:r w:rsidRPr="224CC3C5">
        <w:rPr>
          <w:i/>
          <w:iCs/>
        </w:rPr>
        <w:t xml:space="preserve">National Plan to End Violence against Women and Children 2022-32. </w:t>
      </w:r>
      <w:r w:rsidRPr="224CC3C5">
        <w:t>The focus is</w:t>
      </w:r>
      <w:r>
        <w:t xml:space="preserve"> on prevention, early intervention, response, and recovery. </w:t>
      </w:r>
    </w:p>
    <w:p w14:paraId="13F6744D" w14:textId="77777777" w:rsidR="00D2326B" w:rsidRPr="00D01B7C" w:rsidRDefault="00D2326B" w:rsidP="00A93AB1">
      <w:pPr>
        <w:spacing w:before="0" w:line="360" w:lineRule="auto"/>
        <w:rPr>
          <w:szCs w:val="20"/>
        </w:rPr>
      </w:pPr>
    </w:p>
    <w:p w14:paraId="5C33D30C" w14:textId="02651E66" w:rsidR="00202458" w:rsidRDefault="00202458" w:rsidP="00A93AB1">
      <w:pPr>
        <w:pStyle w:val="Header2"/>
        <w:spacing w:before="0" w:line="360" w:lineRule="auto"/>
      </w:pPr>
      <w:r>
        <w:t>Economic security</w:t>
      </w:r>
    </w:p>
    <w:p w14:paraId="4B346194" w14:textId="3299A6DC" w:rsidR="00202458" w:rsidRDefault="00202458" w:rsidP="00A93AB1">
      <w:pPr>
        <w:spacing w:before="0" w:line="360" w:lineRule="auto"/>
      </w:pPr>
      <w:r>
        <w:t xml:space="preserve">While women’s workforce participation is now at its highest level, with more women assuming highly skilled and leadership roles, barriers still exist. The gender pay gap continues to fall but it still has a way to go. </w:t>
      </w:r>
    </w:p>
    <w:p w14:paraId="06CEE7ED" w14:textId="77777777" w:rsidR="005D4B16" w:rsidRDefault="005D4B16" w:rsidP="00A93AB1">
      <w:pPr>
        <w:spacing w:before="0" w:line="360" w:lineRule="auto"/>
        <w:rPr>
          <w:szCs w:val="20"/>
        </w:rPr>
      </w:pPr>
    </w:p>
    <w:p w14:paraId="33904C06" w14:textId="3765873D" w:rsidR="00202458" w:rsidRDefault="00202458" w:rsidP="00A93AB1">
      <w:pPr>
        <w:spacing w:before="0" w:line="360" w:lineRule="auto"/>
        <w:rPr>
          <w:rFonts w:ascii="Arial" w:eastAsia="Arial" w:hAnsi="Arial" w:cs="Arial"/>
          <w:color w:val="212529"/>
          <w:szCs w:val="20"/>
        </w:rPr>
      </w:pPr>
      <w:r>
        <w:t xml:space="preserve">The Budget allocates $482 million </w:t>
      </w:r>
      <w:r w:rsidR="001A4DB0">
        <w:t>to</w:t>
      </w:r>
      <w:r>
        <w:t xml:space="preserve"> women’s economic security measures such as assisting </w:t>
      </w:r>
      <w:r w:rsidR="224CC3C5" w:rsidRPr="224CC3C5">
        <w:rPr>
          <w:rFonts w:ascii="Arial" w:eastAsia="Arial" w:hAnsi="Arial" w:cs="Arial"/>
          <w:color w:val="212529"/>
          <w:szCs w:val="20"/>
        </w:rPr>
        <w:t>women to transition into the booming tech industry and manufacturing jobs as well as developing entrepreneurial skills.</w:t>
      </w:r>
    </w:p>
    <w:p w14:paraId="23DBAEB4" w14:textId="77777777" w:rsidR="00202458" w:rsidRDefault="00202458" w:rsidP="00E93754">
      <w:pPr>
        <w:pStyle w:val="NoSpacing"/>
      </w:pPr>
    </w:p>
    <w:p w14:paraId="2C60D870" w14:textId="77777777" w:rsidR="00D01B7C" w:rsidRDefault="00D01B7C" w:rsidP="00E93754">
      <w:pPr>
        <w:pStyle w:val="NoSpacing"/>
      </w:pPr>
    </w:p>
    <w:p w14:paraId="58E2F0B1" w14:textId="77777777" w:rsidR="00D01B7C" w:rsidRDefault="00D01B7C" w:rsidP="00202458">
      <w:pPr>
        <w:pStyle w:val="NoSpacing"/>
      </w:pPr>
    </w:p>
    <w:p w14:paraId="3588AC0E" w14:textId="77777777" w:rsidR="00D01B7C" w:rsidRDefault="00D01B7C" w:rsidP="00202458">
      <w:pPr>
        <w:pStyle w:val="NoSpacing"/>
      </w:pPr>
    </w:p>
    <w:p w14:paraId="675753FD" w14:textId="77777777" w:rsidR="00D01B7C" w:rsidRDefault="00D01B7C" w:rsidP="00202458">
      <w:pPr>
        <w:pStyle w:val="NoSpacing"/>
      </w:pPr>
    </w:p>
    <w:p w14:paraId="10AB1F2C" w14:textId="77777777" w:rsidR="00D01B7C" w:rsidRDefault="00D01B7C" w:rsidP="00202458">
      <w:pPr>
        <w:pStyle w:val="NoSpacing"/>
      </w:pPr>
    </w:p>
    <w:p w14:paraId="5C8C6A83" w14:textId="77777777" w:rsidR="00D01B7C" w:rsidRDefault="00D01B7C" w:rsidP="00202458">
      <w:pPr>
        <w:pStyle w:val="NoSpacing"/>
      </w:pPr>
    </w:p>
    <w:p w14:paraId="08332C3E" w14:textId="11DEFD5B" w:rsidR="00202458" w:rsidRDefault="00202458" w:rsidP="00202458">
      <w:pPr>
        <w:pStyle w:val="NoSpacing"/>
      </w:pPr>
    </w:p>
    <w:p w14:paraId="32AA56C3" w14:textId="4BCF545A" w:rsidR="00D01B7C" w:rsidRDefault="00D01B7C" w:rsidP="00202458">
      <w:pPr>
        <w:pStyle w:val="NoSpacing"/>
      </w:pPr>
    </w:p>
    <w:p w14:paraId="6BE3CE8B" w14:textId="1D77A023" w:rsidR="00D01B7C" w:rsidRDefault="00D01B7C" w:rsidP="00202458">
      <w:pPr>
        <w:pStyle w:val="NoSpacing"/>
      </w:pPr>
    </w:p>
    <w:p w14:paraId="11471916" w14:textId="6F9A2792" w:rsidR="00D01B7C" w:rsidRDefault="00D01B7C" w:rsidP="00202458">
      <w:pPr>
        <w:pStyle w:val="NoSpacing"/>
      </w:pPr>
    </w:p>
    <w:p w14:paraId="282705B6" w14:textId="7C12EE68" w:rsidR="0020172A" w:rsidRDefault="0020172A" w:rsidP="00202458">
      <w:pPr>
        <w:pStyle w:val="NoSpacing"/>
      </w:pPr>
    </w:p>
    <w:p w14:paraId="7D50FD12" w14:textId="27098DF5" w:rsidR="0020172A" w:rsidRDefault="0020172A" w:rsidP="00202458">
      <w:pPr>
        <w:pStyle w:val="NoSpacing"/>
      </w:pPr>
    </w:p>
    <w:p w14:paraId="3497B191" w14:textId="3A83DF0B" w:rsidR="0020172A" w:rsidRDefault="0020172A" w:rsidP="00202458">
      <w:pPr>
        <w:pStyle w:val="NoSpacing"/>
      </w:pPr>
    </w:p>
    <w:p w14:paraId="25E56C7D" w14:textId="77777777" w:rsidR="0020172A" w:rsidRDefault="0020172A" w:rsidP="00202458">
      <w:pPr>
        <w:pStyle w:val="NoSpacing"/>
      </w:pPr>
    </w:p>
    <w:p w14:paraId="540C1A33" w14:textId="6F5604BF" w:rsidR="00D01B7C" w:rsidRDefault="00D01B7C" w:rsidP="00202458">
      <w:pPr>
        <w:pStyle w:val="NoSpacing"/>
      </w:pPr>
    </w:p>
    <w:p w14:paraId="5200F4A5" w14:textId="09B62F18" w:rsidR="00D01B7C" w:rsidRDefault="00D01B7C" w:rsidP="00202458">
      <w:pPr>
        <w:pStyle w:val="NoSpacing"/>
      </w:pPr>
    </w:p>
    <w:p w14:paraId="2D395455" w14:textId="0B650597" w:rsidR="00D01B7C" w:rsidRDefault="00D01B7C" w:rsidP="00202458">
      <w:pPr>
        <w:pStyle w:val="NoSpacing"/>
      </w:pPr>
    </w:p>
    <w:p w14:paraId="3D943AFC" w14:textId="7AA7BA2C" w:rsidR="00D01B7C" w:rsidRDefault="00D01B7C" w:rsidP="00202458">
      <w:pPr>
        <w:pStyle w:val="NoSpacing"/>
      </w:pPr>
    </w:p>
    <w:p w14:paraId="0F9E2804" w14:textId="4171E903" w:rsidR="00D01B7C" w:rsidRDefault="00D01B7C" w:rsidP="00202458">
      <w:pPr>
        <w:pStyle w:val="NoSpacing"/>
      </w:pPr>
    </w:p>
    <w:p w14:paraId="4A04DD79" w14:textId="37B14C71" w:rsidR="00D01B7C" w:rsidRDefault="00D01B7C" w:rsidP="00202458">
      <w:pPr>
        <w:pStyle w:val="NoSpacing"/>
      </w:pPr>
    </w:p>
    <w:p w14:paraId="27CE4A97" w14:textId="30105DE5" w:rsidR="00D01B7C" w:rsidRDefault="00D01B7C" w:rsidP="00202458">
      <w:pPr>
        <w:pStyle w:val="NoSpacing"/>
      </w:pPr>
    </w:p>
    <w:p w14:paraId="7EEEE843" w14:textId="77777777" w:rsidR="00D01B7C" w:rsidRDefault="00D01B7C" w:rsidP="00202458">
      <w:pPr>
        <w:pStyle w:val="NoSpacing"/>
      </w:pPr>
    </w:p>
    <w:p w14:paraId="289DF206" w14:textId="77777777" w:rsidR="00FC05A2" w:rsidRDefault="00FC05A2" w:rsidP="00202458">
      <w:pPr>
        <w:pStyle w:val="NoSpacing"/>
      </w:pPr>
    </w:p>
    <w:p w14:paraId="021D6E56" w14:textId="77777777" w:rsidR="00FC05A2" w:rsidRDefault="00FC05A2" w:rsidP="00202458">
      <w:pPr>
        <w:pStyle w:val="NoSpacing"/>
      </w:pPr>
    </w:p>
    <w:p w14:paraId="3442E971" w14:textId="77777777" w:rsidR="00FC05A2" w:rsidRDefault="00FC05A2" w:rsidP="00202458">
      <w:pPr>
        <w:pStyle w:val="NoSpacing"/>
      </w:pPr>
    </w:p>
    <w:p w14:paraId="263E9580" w14:textId="77777777" w:rsidR="00FC05A2" w:rsidRDefault="00FC05A2" w:rsidP="00202458">
      <w:pPr>
        <w:pStyle w:val="NoSpacing"/>
      </w:pPr>
    </w:p>
    <w:p w14:paraId="1CFF810E" w14:textId="77777777" w:rsidR="00FC05A2" w:rsidRDefault="00FC05A2" w:rsidP="00202458">
      <w:pPr>
        <w:pStyle w:val="NoSpacing"/>
      </w:pPr>
    </w:p>
    <w:p w14:paraId="4B472115" w14:textId="77777777" w:rsidR="00FC05A2" w:rsidRDefault="00FC05A2" w:rsidP="00202458">
      <w:pPr>
        <w:pStyle w:val="NoSpacing"/>
      </w:pPr>
    </w:p>
    <w:p w14:paraId="0E0C8D1D" w14:textId="77777777" w:rsidR="00FC05A2" w:rsidRDefault="00FC05A2" w:rsidP="00202458">
      <w:pPr>
        <w:pStyle w:val="NoSpacing"/>
      </w:pPr>
    </w:p>
    <w:p w14:paraId="76597401" w14:textId="77777777" w:rsidR="00FC05A2" w:rsidRDefault="00FC05A2" w:rsidP="00202458">
      <w:pPr>
        <w:pStyle w:val="NoSpacing"/>
      </w:pPr>
    </w:p>
    <w:p w14:paraId="64175DBC" w14:textId="77777777" w:rsidR="00FC05A2" w:rsidRDefault="00FC05A2" w:rsidP="00202458">
      <w:pPr>
        <w:pStyle w:val="NoSpacing"/>
      </w:pPr>
    </w:p>
    <w:p w14:paraId="4D4DB04D" w14:textId="77777777" w:rsidR="00FC05A2" w:rsidRDefault="00FC05A2" w:rsidP="00202458">
      <w:pPr>
        <w:pStyle w:val="NoSpacing"/>
      </w:pPr>
    </w:p>
    <w:p w14:paraId="71DF3F3F" w14:textId="77777777" w:rsidR="00FC05A2" w:rsidRDefault="00FC05A2" w:rsidP="00202458">
      <w:pPr>
        <w:pStyle w:val="NoSpacing"/>
      </w:pPr>
    </w:p>
    <w:p w14:paraId="7D8FF8BA" w14:textId="77777777" w:rsidR="00FC05A2" w:rsidRDefault="00FC05A2" w:rsidP="00202458">
      <w:pPr>
        <w:pStyle w:val="NoSpacing"/>
      </w:pPr>
    </w:p>
    <w:p w14:paraId="6FB875D9" w14:textId="77777777" w:rsidR="00FC05A2" w:rsidRDefault="00FC05A2" w:rsidP="00202458">
      <w:pPr>
        <w:pStyle w:val="NoSpacing"/>
      </w:pPr>
    </w:p>
    <w:p w14:paraId="6ACA18C6" w14:textId="77777777" w:rsidR="00FC05A2" w:rsidRDefault="00FC05A2" w:rsidP="00202458">
      <w:pPr>
        <w:pStyle w:val="NoSpacing"/>
      </w:pPr>
    </w:p>
    <w:p w14:paraId="41997408" w14:textId="77777777" w:rsidR="00FC05A2" w:rsidRDefault="00FC05A2" w:rsidP="00202458">
      <w:pPr>
        <w:pStyle w:val="NoSpacing"/>
      </w:pPr>
    </w:p>
    <w:p w14:paraId="30BB1A5F" w14:textId="77777777" w:rsidR="00FC05A2" w:rsidRDefault="00FC05A2" w:rsidP="00202458">
      <w:pPr>
        <w:pStyle w:val="NoSpacing"/>
      </w:pPr>
    </w:p>
    <w:p w14:paraId="42BC4879" w14:textId="77777777" w:rsidR="00FC05A2" w:rsidRDefault="00FC05A2" w:rsidP="00202458">
      <w:pPr>
        <w:pStyle w:val="NoSpacing"/>
      </w:pPr>
    </w:p>
    <w:p w14:paraId="167EB16D" w14:textId="77777777" w:rsidR="00FC05A2" w:rsidRDefault="00FC05A2" w:rsidP="00202458">
      <w:pPr>
        <w:pStyle w:val="NoSpacing"/>
      </w:pPr>
    </w:p>
    <w:p w14:paraId="609F5013" w14:textId="77777777" w:rsidR="006F56A5" w:rsidRDefault="006F56A5" w:rsidP="006F56A5">
      <w:pPr>
        <w:rPr>
          <w:rFonts w:ascii="Segoe UI" w:hAnsi="Segoe UI" w:cs="Segoe UI"/>
          <w:color w:val="212529"/>
          <w:sz w:val="19"/>
          <w:szCs w:val="19"/>
          <w:shd w:val="clear" w:color="auto" w:fill="FFFFFF"/>
          <w:lang w:val="en-AU"/>
        </w:rPr>
      </w:pPr>
      <w:r>
        <w:rPr>
          <w:rFonts w:ascii="Segoe UI" w:hAnsi="Segoe UI" w:cs="Segoe UI"/>
          <w:color w:val="212529"/>
          <w:sz w:val="19"/>
          <w:szCs w:val="19"/>
          <w:shd w:val="clear" w:color="auto" w:fill="FFFFFF"/>
        </w:rPr>
        <w:t xml:space="preserve">The release date of this document is 30 March 2022. While all care has been taken in the preparation of this document, to the extent permitted by law, no warranty is given in respect of the information provided and accordingly neither </w:t>
      </w:r>
      <w:r w:rsidRPr="005C4FF5">
        <w:rPr>
          <w:rFonts w:ascii="Segoe UI" w:hAnsi="Segoe UI" w:cs="Segoe UI"/>
          <w:color w:val="212529"/>
          <w:sz w:val="19"/>
          <w:szCs w:val="19"/>
          <w:highlight w:val="yellow"/>
          <w:shd w:val="clear" w:color="auto" w:fill="FFFFFF"/>
        </w:rPr>
        <w:t>Centrepoint Alliance Limited,</w:t>
      </w:r>
      <w:r>
        <w:rPr>
          <w:rFonts w:ascii="Segoe UI" w:hAnsi="Segoe UI" w:cs="Segoe UI"/>
          <w:color w:val="212529"/>
          <w:sz w:val="19"/>
          <w:szCs w:val="19"/>
          <w:shd w:val="clear" w:color="auto" w:fill="FFFFFF"/>
        </w:rPr>
        <w:t xml:space="preserve"> its related entities, employees or representatives shall not be liable for any loss suffered arising from reliance on this information.</w:t>
      </w:r>
    </w:p>
    <w:p w14:paraId="2E34FAAD" w14:textId="177E3AB8" w:rsidR="00202458" w:rsidRPr="00104492" w:rsidRDefault="00202458" w:rsidP="006F56A5">
      <w:pPr>
        <w:pStyle w:val="NoSpacing"/>
        <w:rPr>
          <w:color w:val="auto"/>
        </w:rPr>
      </w:pPr>
    </w:p>
    <w:sectPr w:rsidR="00202458" w:rsidRPr="00104492" w:rsidSect="007C25BA">
      <w:footerReference w:type="default" r:id="rId11"/>
      <w:headerReference w:type="first" r:id="rId12"/>
      <w:footerReference w:type="first" r:id="rId13"/>
      <w:pgSz w:w="11906" w:h="16838" w:code="9"/>
      <w:pgMar w:top="992" w:right="1021" w:bottom="1134" w:left="1021" w:header="284" w:footer="794" w:gutter="0"/>
      <w:cols w:space="708" w:equalWidth="0">
        <w:col w:w="986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030E" w14:textId="77777777" w:rsidR="00FB7A02" w:rsidRDefault="00FB7A02" w:rsidP="008F222C">
      <w:r>
        <w:separator/>
      </w:r>
    </w:p>
  </w:endnote>
  <w:endnote w:type="continuationSeparator" w:id="0">
    <w:p w14:paraId="4EF175BB" w14:textId="77777777" w:rsidR="00FB7A02" w:rsidRDefault="00FB7A02"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E5C8" w14:textId="074C6121" w:rsidR="004338F6" w:rsidRDefault="004338F6" w:rsidP="004338F6">
    <w:pPr>
      <w:pStyle w:val="Default"/>
    </w:pPr>
    <w:r>
      <w:rPr>
        <w:color w:val="1ED2E6" w:themeColor="accent1"/>
      </w:rPr>
      <w:t xml:space="preserve"> </w:t>
    </w:r>
  </w:p>
  <w:p w14:paraId="517729FD" w14:textId="07022FEF" w:rsidR="00EC3D49" w:rsidRDefault="004338F6" w:rsidP="004338F6">
    <w:pPr>
      <w:pStyle w:val="Footer"/>
    </w:pPr>
    <w:r>
      <w:t xml:space="preserve"> </w:t>
    </w:r>
    <w:r>
      <w:rPr>
        <w:color w:val="5B5D61"/>
        <w:szCs w:val="16"/>
      </w:rPr>
      <w:t xml:space="preserve">2022 Federal Budget Summary </w:t>
    </w:r>
    <w:r>
      <w:rPr>
        <w:color w:val="5B5D61"/>
        <w:szCs w:val="16"/>
      </w:rPr>
      <w:tab/>
    </w:r>
    <w:proofErr w:type="gramStart"/>
    <w:r>
      <w:rPr>
        <w:color w:val="5B5D61"/>
        <w:szCs w:val="16"/>
      </w:rPr>
      <w:tab/>
      <w:t xml:space="preserve">  </w:t>
    </w:r>
    <w:r>
      <w:rPr>
        <w:color w:val="5B5D61"/>
        <w:szCs w:val="16"/>
      </w:rPr>
      <w:tab/>
    </w:r>
    <w:proofErr w:type="gramEnd"/>
    <w:r>
      <w:rPr>
        <w:color w:val="5B5D61"/>
        <w:szCs w:val="16"/>
      </w:rPr>
      <w:t xml:space="preserve">       </w:t>
    </w:r>
    <w:r w:rsidRPr="004338F6">
      <w:rPr>
        <w:color w:val="5B5D61"/>
        <w:szCs w:val="16"/>
      </w:rPr>
      <w:fldChar w:fldCharType="begin"/>
    </w:r>
    <w:r w:rsidRPr="004338F6">
      <w:rPr>
        <w:color w:val="5B5D61"/>
        <w:szCs w:val="16"/>
      </w:rPr>
      <w:instrText xml:space="preserve"> PAGE   \* MERGEFORMAT </w:instrText>
    </w:r>
    <w:r w:rsidRPr="004338F6">
      <w:rPr>
        <w:color w:val="5B5D61"/>
        <w:szCs w:val="16"/>
      </w:rPr>
      <w:fldChar w:fldCharType="separate"/>
    </w:r>
    <w:r w:rsidRPr="004338F6">
      <w:rPr>
        <w:noProof/>
        <w:color w:val="5B5D61"/>
        <w:szCs w:val="16"/>
      </w:rPr>
      <w:t>1</w:t>
    </w:r>
    <w:r w:rsidRPr="004338F6">
      <w:rPr>
        <w:noProof/>
        <w:color w:val="5B5D61"/>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044A" w14:textId="44D3A8DE" w:rsidR="004338F6" w:rsidRDefault="008037F3">
    <w:pPr>
      <w:pStyle w:val="Footer"/>
    </w:pPr>
    <w:r>
      <w:rPr>
        <w:color w:val="5B5D61"/>
        <w:szCs w:val="16"/>
      </w:rPr>
      <w:t xml:space="preserve">2022 Federal Budget Summary </w:t>
    </w:r>
    <w:r>
      <w:rPr>
        <w:color w:val="5B5D61"/>
        <w:szCs w:val="16"/>
      </w:rPr>
      <w:tab/>
    </w:r>
    <w:proofErr w:type="gramStart"/>
    <w:r>
      <w:rPr>
        <w:color w:val="5B5D61"/>
        <w:szCs w:val="16"/>
      </w:rPr>
      <w:tab/>
      <w:t xml:space="preserve">  </w:t>
    </w:r>
    <w:r>
      <w:rPr>
        <w:color w:val="5B5D61"/>
        <w:szCs w:val="16"/>
      </w:rPr>
      <w:tab/>
    </w:r>
    <w:proofErr w:type="gramEnd"/>
    <w:r>
      <w:rPr>
        <w:color w:val="5B5D61"/>
        <w:szCs w:val="16"/>
      </w:rPr>
      <w:t xml:space="preserve">       </w:t>
    </w:r>
    <w:r w:rsidRPr="004338F6">
      <w:rPr>
        <w:color w:val="5B5D61"/>
        <w:szCs w:val="16"/>
      </w:rPr>
      <w:fldChar w:fldCharType="begin"/>
    </w:r>
    <w:r w:rsidRPr="004338F6">
      <w:rPr>
        <w:color w:val="5B5D61"/>
        <w:szCs w:val="16"/>
      </w:rPr>
      <w:instrText xml:space="preserve"> PAGE   \* MERGEFORMAT </w:instrText>
    </w:r>
    <w:r w:rsidRPr="004338F6">
      <w:rPr>
        <w:color w:val="5B5D61"/>
        <w:szCs w:val="16"/>
      </w:rPr>
      <w:fldChar w:fldCharType="separate"/>
    </w:r>
    <w:r>
      <w:rPr>
        <w:color w:val="5B5D61"/>
        <w:szCs w:val="16"/>
      </w:rPr>
      <w:t>2</w:t>
    </w:r>
    <w:r w:rsidRPr="004338F6">
      <w:rPr>
        <w:noProof/>
        <w:color w:val="5B5D61"/>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09A8" w14:textId="77777777" w:rsidR="00FB7A02" w:rsidRDefault="00FB7A02" w:rsidP="008F222C">
      <w:r>
        <w:separator/>
      </w:r>
    </w:p>
  </w:footnote>
  <w:footnote w:type="continuationSeparator" w:id="0">
    <w:p w14:paraId="34E88C6D" w14:textId="77777777" w:rsidR="00FB7A02" w:rsidRDefault="00FB7A02" w:rsidP="008F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6E4" w14:textId="77777777" w:rsidR="00B522C0" w:rsidRDefault="00B522C0">
    <w:pPr>
      <w:pStyle w:val="Header"/>
      <w:rPr>
        <w:noProof/>
      </w:rPr>
    </w:pPr>
  </w:p>
  <w:p w14:paraId="2B29EC14" w14:textId="77777777" w:rsidR="00B522C0" w:rsidRDefault="00B522C0">
    <w:pPr>
      <w:pStyle w:val="Header"/>
      <w:rPr>
        <w:noProof/>
      </w:rPr>
    </w:pPr>
  </w:p>
  <w:p w14:paraId="2144394E" w14:textId="2C0A88AC" w:rsidR="00B522C0" w:rsidRDefault="0090718D">
    <w:pPr>
      <w:pStyle w:val="Header"/>
    </w:pPr>
    <w:r>
      <w:rPr>
        <w:noProof/>
      </w:rPr>
      <w:drawing>
        <wp:anchor distT="0" distB="0" distL="114300" distR="114300" simplePos="0" relativeHeight="251662336" behindDoc="1" locked="1" layoutInCell="1" allowOverlap="1" wp14:anchorId="52D0CA41" wp14:editId="2F159B64">
          <wp:simplePos x="0" y="0"/>
          <wp:positionH relativeFrom="page">
            <wp:align>right</wp:align>
          </wp:positionH>
          <wp:positionV relativeFrom="page">
            <wp:align>top</wp:align>
          </wp:positionV>
          <wp:extent cx="7557770" cy="189039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
                    <a:alphaModFix amt="60000"/>
                  </a:blip>
                  <a:srcRect l="126" t="16841" r="-126" b="12787"/>
                  <a:stretch/>
                </pic:blipFill>
                <pic:spPr bwMode="auto">
                  <a:xfrm>
                    <a:off x="0" y="0"/>
                    <a:ext cx="7557770" cy="1890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7E6C8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700CD52C"/>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8"/>
    <w:multiLevelType w:val="singleLevel"/>
    <w:tmpl w:val="D3A051F4"/>
    <w:lvl w:ilvl="0">
      <w:start w:val="1"/>
      <w:numFmt w:val="decimal"/>
      <w:pStyle w:val="ListNumber"/>
      <w:lvlText w:val="%1."/>
      <w:lvlJc w:val="left"/>
      <w:pPr>
        <w:tabs>
          <w:tab w:val="num" w:pos="360"/>
        </w:tabs>
        <w:ind w:left="360" w:hanging="360"/>
      </w:pPr>
    </w:lvl>
  </w:abstractNum>
  <w:abstractNum w:abstractNumId="3" w15:restartNumberingAfterBreak="0">
    <w:nsid w:val="0ADB24C9"/>
    <w:multiLevelType w:val="hybridMultilevel"/>
    <w:tmpl w:val="CF4C3EC2"/>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F6423E"/>
    <w:multiLevelType w:val="hybridMultilevel"/>
    <w:tmpl w:val="F3E2BF7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038D5"/>
    <w:multiLevelType w:val="multilevel"/>
    <w:tmpl w:val="BD4ECEF8"/>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5A97C20"/>
    <w:multiLevelType w:val="multilevel"/>
    <w:tmpl w:val="9546248C"/>
    <w:lvl w:ilvl="0">
      <w:start w:val="1"/>
      <w:numFmt w:val="upperLetter"/>
      <w:pStyle w:val="AppendixHeading1"/>
      <w:lvlText w:val="%1."/>
      <w:lvlJc w:val="left"/>
      <w:pPr>
        <w:ind w:left="425" w:hanging="425"/>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709" w:hanging="709"/>
      </w:pPr>
      <w:rPr>
        <w:rFonts w:hint="default"/>
      </w:rPr>
    </w:lvl>
    <w:lvl w:ilvl="3">
      <w:start w:val="1"/>
      <w:numFmt w:val="decimal"/>
      <w:pStyle w:val="AppendixHeading4"/>
      <w:lvlText w:val="%1.%2.%3.%4"/>
      <w:lvlJc w:val="left"/>
      <w:pPr>
        <w:ind w:left="851" w:hanging="851"/>
      </w:pPr>
      <w:rPr>
        <w:rFonts w:hint="default"/>
      </w:rPr>
    </w:lvl>
    <w:lvl w:ilvl="4">
      <w:start w:val="1"/>
      <w:numFmt w:val="decimal"/>
      <w:pStyle w:val="AppendixHeading5"/>
      <w:lvlText w:val="%1.%2.%3.%4.%5"/>
      <w:lvlJc w:val="left"/>
      <w:pPr>
        <w:ind w:left="992" w:hanging="992"/>
      </w:pPr>
      <w:rPr>
        <w:rFonts w:hint="default"/>
      </w:rPr>
    </w:lvl>
    <w:lvl w:ilvl="5">
      <w:start w:val="1"/>
      <w:numFmt w:val="decimal"/>
      <w:pStyle w:val="AppendixHeading6"/>
      <w:lvlText w:val="%1.%2.%3.%4.%5.%6"/>
      <w:lvlJc w:val="left"/>
      <w:pPr>
        <w:ind w:left="1134" w:hanging="1134"/>
      </w:pPr>
      <w:rPr>
        <w:rFonts w:hint="default"/>
      </w:rPr>
    </w:lvl>
    <w:lvl w:ilvl="6">
      <w:start w:val="1"/>
      <w:numFmt w:val="lowerLetter"/>
      <w:pStyle w:val="AppendixPara1"/>
      <w:lvlText w:val="%7."/>
      <w:lvlJc w:val="left"/>
      <w:pPr>
        <w:ind w:left="227" w:hanging="227"/>
      </w:pPr>
      <w:rPr>
        <w:rFonts w:hint="default"/>
      </w:rPr>
    </w:lvl>
    <w:lvl w:ilvl="7">
      <w:start w:val="1"/>
      <w:numFmt w:val="lowerRoman"/>
      <w:pStyle w:val="AppendixPara2"/>
      <w:lvlText w:val="%8."/>
      <w:lvlJc w:val="left"/>
      <w:pPr>
        <w:ind w:left="454" w:hanging="227"/>
      </w:pPr>
      <w:rPr>
        <w:rFonts w:hint="default"/>
      </w:rPr>
    </w:lvl>
    <w:lvl w:ilvl="8">
      <w:start w:val="1"/>
      <w:numFmt w:val="upperLetter"/>
      <w:pStyle w:val="AppendixPara3"/>
      <w:lvlText w:val="%9."/>
      <w:lvlJc w:val="left"/>
      <w:pPr>
        <w:ind w:left="680" w:hanging="226"/>
      </w:pPr>
      <w:rPr>
        <w:rFonts w:hint="default"/>
      </w:rPr>
    </w:lvl>
  </w:abstractNum>
  <w:abstractNum w:abstractNumId="7" w15:restartNumberingAfterBreak="0">
    <w:nsid w:val="3CA25E48"/>
    <w:multiLevelType w:val="hybridMultilevel"/>
    <w:tmpl w:val="66AE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20870BF"/>
    <w:multiLevelType w:val="hybridMultilevel"/>
    <w:tmpl w:val="3AC63F04"/>
    <w:lvl w:ilvl="0" w:tplc="F7306CA2">
      <w:start w:val="1"/>
      <w:numFmt w:val="bullet"/>
      <w:lvlText w:val=""/>
      <w:lvlJc w:val="left"/>
      <w:pPr>
        <w:ind w:left="720" w:hanging="360"/>
      </w:pPr>
      <w:rPr>
        <w:rFonts w:ascii="Symbol" w:hAnsi="Symbol" w:hint="default"/>
      </w:rPr>
    </w:lvl>
    <w:lvl w:ilvl="1" w:tplc="EED062AA">
      <w:start w:val="1"/>
      <w:numFmt w:val="bullet"/>
      <w:lvlText w:val="o"/>
      <w:lvlJc w:val="left"/>
      <w:pPr>
        <w:ind w:left="1440" w:hanging="360"/>
      </w:pPr>
      <w:rPr>
        <w:rFonts w:ascii="Courier New" w:hAnsi="Courier New" w:hint="default"/>
      </w:rPr>
    </w:lvl>
    <w:lvl w:ilvl="2" w:tplc="816A5B98">
      <w:start w:val="1"/>
      <w:numFmt w:val="bullet"/>
      <w:lvlText w:val=""/>
      <w:lvlJc w:val="left"/>
      <w:pPr>
        <w:ind w:left="2160" w:hanging="360"/>
      </w:pPr>
      <w:rPr>
        <w:rFonts w:ascii="Wingdings" w:hAnsi="Wingdings" w:hint="default"/>
      </w:rPr>
    </w:lvl>
    <w:lvl w:ilvl="3" w:tplc="47143BAE">
      <w:start w:val="1"/>
      <w:numFmt w:val="bullet"/>
      <w:lvlText w:val=""/>
      <w:lvlJc w:val="left"/>
      <w:pPr>
        <w:ind w:left="2880" w:hanging="360"/>
      </w:pPr>
      <w:rPr>
        <w:rFonts w:ascii="Symbol" w:hAnsi="Symbol" w:hint="default"/>
      </w:rPr>
    </w:lvl>
    <w:lvl w:ilvl="4" w:tplc="F70AFC5E">
      <w:start w:val="1"/>
      <w:numFmt w:val="bullet"/>
      <w:lvlText w:val="o"/>
      <w:lvlJc w:val="left"/>
      <w:pPr>
        <w:ind w:left="3600" w:hanging="360"/>
      </w:pPr>
      <w:rPr>
        <w:rFonts w:ascii="Courier New" w:hAnsi="Courier New" w:hint="default"/>
      </w:rPr>
    </w:lvl>
    <w:lvl w:ilvl="5" w:tplc="6E40F532">
      <w:start w:val="1"/>
      <w:numFmt w:val="bullet"/>
      <w:lvlText w:val=""/>
      <w:lvlJc w:val="left"/>
      <w:pPr>
        <w:ind w:left="4320" w:hanging="360"/>
      </w:pPr>
      <w:rPr>
        <w:rFonts w:ascii="Wingdings" w:hAnsi="Wingdings" w:hint="default"/>
      </w:rPr>
    </w:lvl>
    <w:lvl w:ilvl="6" w:tplc="1F44ED2A">
      <w:start w:val="1"/>
      <w:numFmt w:val="bullet"/>
      <w:lvlText w:val=""/>
      <w:lvlJc w:val="left"/>
      <w:pPr>
        <w:ind w:left="5040" w:hanging="360"/>
      </w:pPr>
      <w:rPr>
        <w:rFonts w:ascii="Symbol" w:hAnsi="Symbol" w:hint="default"/>
      </w:rPr>
    </w:lvl>
    <w:lvl w:ilvl="7" w:tplc="2D8CC50A">
      <w:start w:val="1"/>
      <w:numFmt w:val="bullet"/>
      <w:lvlText w:val="o"/>
      <w:lvlJc w:val="left"/>
      <w:pPr>
        <w:ind w:left="5760" w:hanging="360"/>
      </w:pPr>
      <w:rPr>
        <w:rFonts w:ascii="Courier New" w:hAnsi="Courier New" w:hint="default"/>
      </w:rPr>
    </w:lvl>
    <w:lvl w:ilvl="8" w:tplc="9F8AFE92">
      <w:start w:val="1"/>
      <w:numFmt w:val="bullet"/>
      <w:lvlText w:val=""/>
      <w:lvlJc w:val="left"/>
      <w:pPr>
        <w:ind w:left="6480" w:hanging="360"/>
      </w:pPr>
      <w:rPr>
        <w:rFonts w:ascii="Wingdings" w:hAnsi="Wingdings" w:hint="default"/>
      </w:rPr>
    </w:lvl>
  </w:abstractNum>
  <w:abstractNum w:abstractNumId="10" w15:restartNumberingAfterBreak="0">
    <w:nsid w:val="42B9019E"/>
    <w:multiLevelType w:val="hybridMultilevel"/>
    <w:tmpl w:val="4E103AE2"/>
    <w:lvl w:ilvl="0" w:tplc="7A9ADC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C0DF1"/>
    <w:multiLevelType w:val="hybridMultilevel"/>
    <w:tmpl w:val="10B2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AD1957"/>
    <w:multiLevelType w:val="hybridMultilevel"/>
    <w:tmpl w:val="8C1E049E"/>
    <w:lvl w:ilvl="0" w:tplc="7C148732">
      <w:start w:val="1"/>
      <w:numFmt w:val="decimal"/>
      <w:lvlText w:val="%1."/>
      <w:lvlJc w:val="left"/>
      <w:pPr>
        <w:ind w:left="720" w:hanging="360"/>
      </w:pPr>
    </w:lvl>
    <w:lvl w:ilvl="1" w:tplc="19F06FB0">
      <w:start w:val="1"/>
      <w:numFmt w:val="lowerLetter"/>
      <w:lvlText w:val="%2."/>
      <w:lvlJc w:val="left"/>
      <w:pPr>
        <w:ind w:left="1440" w:hanging="360"/>
      </w:pPr>
    </w:lvl>
    <w:lvl w:ilvl="2" w:tplc="4DEA59CC">
      <w:start w:val="1"/>
      <w:numFmt w:val="lowerRoman"/>
      <w:lvlText w:val="%3."/>
      <w:lvlJc w:val="right"/>
      <w:pPr>
        <w:ind w:left="2160" w:hanging="180"/>
      </w:pPr>
    </w:lvl>
    <w:lvl w:ilvl="3" w:tplc="38B6F48E">
      <w:start w:val="1"/>
      <w:numFmt w:val="decimal"/>
      <w:lvlText w:val="%4."/>
      <w:lvlJc w:val="left"/>
      <w:pPr>
        <w:ind w:left="2880" w:hanging="360"/>
      </w:pPr>
    </w:lvl>
    <w:lvl w:ilvl="4" w:tplc="95488A30">
      <w:start w:val="1"/>
      <w:numFmt w:val="lowerLetter"/>
      <w:lvlText w:val="%5."/>
      <w:lvlJc w:val="left"/>
      <w:pPr>
        <w:ind w:left="3600" w:hanging="360"/>
      </w:pPr>
    </w:lvl>
    <w:lvl w:ilvl="5" w:tplc="ED50C12C">
      <w:start w:val="1"/>
      <w:numFmt w:val="lowerRoman"/>
      <w:lvlText w:val="%6."/>
      <w:lvlJc w:val="right"/>
      <w:pPr>
        <w:ind w:left="4320" w:hanging="180"/>
      </w:pPr>
    </w:lvl>
    <w:lvl w:ilvl="6" w:tplc="31A026FE">
      <w:start w:val="1"/>
      <w:numFmt w:val="decimal"/>
      <w:lvlText w:val="%7."/>
      <w:lvlJc w:val="left"/>
      <w:pPr>
        <w:ind w:left="5040" w:hanging="360"/>
      </w:pPr>
    </w:lvl>
    <w:lvl w:ilvl="7" w:tplc="5A4ED17E">
      <w:start w:val="1"/>
      <w:numFmt w:val="lowerLetter"/>
      <w:lvlText w:val="%8."/>
      <w:lvlJc w:val="left"/>
      <w:pPr>
        <w:ind w:left="5760" w:hanging="360"/>
      </w:pPr>
    </w:lvl>
    <w:lvl w:ilvl="8" w:tplc="4D645E46">
      <w:start w:val="1"/>
      <w:numFmt w:val="lowerRoman"/>
      <w:lvlText w:val="%9."/>
      <w:lvlJc w:val="right"/>
      <w:pPr>
        <w:ind w:left="6480" w:hanging="180"/>
      </w:pPr>
    </w:lvl>
  </w:abstractNum>
  <w:abstractNum w:abstractNumId="13" w15:restartNumberingAfterBreak="0">
    <w:nsid w:val="62203940"/>
    <w:multiLevelType w:val="hybridMultilevel"/>
    <w:tmpl w:val="526A1420"/>
    <w:lvl w:ilvl="0" w:tplc="FFFFFFFF">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4" w15:restartNumberingAfterBreak="0">
    <w:nsid w:val="63AB6E7A"/>
    <w:multiLevelType w:val="hybridMultilevel"/>
    <w:tmpl w:val="1808411E"/>
    <w:lvl w:ilvl="0" w:tplc="9DB26426">
      <w:start w:val="1"/>
      <w:numFmt w:val="decimal"/>
      <w:lvlText w:val="%1."/>
      <w:lvlJc w:val="left"/>
      <w:pPr>
        <w:ind w:left="720" w:hanging="360"/>
      </w:pPr>
    </w:lvl>
    <w:lvl w:ilvl="1" w:tplc="7DF8F0B0">
      <w:start w:val="1"/>
      <w:numFmt w:val="lowerLetter"/>
      <w:lvlText w:val="%2."/>
      <w:lvlJc w:val="left"/>
      <w:pPr>
        <w:ind w:left="1440" w:hanging="360"/>
      </w:pPr>
    </w:lvl>
    <w:lvl w:ilvl="2" w:tplc="3F7AAC32">
      <w:start w:val="1"/>
      <w:numFmt w:val="lowerRoman"/>
      <w:lvlText w:val="%3."/>
      <w:lvlJc w:val="right"/>
      <w:pPr>
        <w:ind w:left="2160" w:hanging="180"/>
      </w:pPr>
    </w:lvl>
    <w:lvl w:ilvl="3" w:tplc="64D4700C">
      <w:start w:val="1"/>
      <w:numFmt w:val="decimal"/>
      <w:lvlText w:val="%4."/>
      <w:lvlJc w:val="left"/>
      <w:pPr>
        <w:ind w:left="2880" w:hanging="360"/>
      </w:pPr>
    </w:lvl>
    <w:lvl w:ilvl="4" w:tplc="D8DCED44">
      <w:start w:val="1"/>
      <w:numFmt w:val="lowerLetter"/>
      <w:lvlText w:val="%5."/>
      <w:lvlJc w:val="left"/>
      <w:pPr>
        <w:ind w:left="3600" w:hanging="360"/>
      </w:pPr>
    </w:lvl>
    <w:lvl w:ilvl="5" w:tplc="FBF0CD02">
      <w:start w:val="1"/>
      <w:numFmt w:val="lowerRoman"/>
      <w:lvlText w:val="%6."/>
      <w:lvlJc w:val="right"/>
      <w:pPr>
        <w:ind w:left="4320" w:hanging="180"/>
      </w:pPr>
    </w:lvl>
    <w:lvl w:ilvl="6" w:tplc="5ACA6C1E">
      <w:start w:val="1"/>
      <w:numFmt w:val="decimal"/>
      <w:lvlText w:val="%7."/>
      <w:lvlJc w:val="left"/>
      <w:pPr>
        <w:ind w:left="5040" w:hanging="360"/>
      </w:pPr>
    </w:lvl>
    <w:lvl w:ilvl="7" w:tplc="4F6A3010">
      <w:start w:val="1"/>
      <w:numFmt w:val="lowerLetter"/>
      <w:lvlText w:val="%8."/>
      <w:lvlJc w:val="left"/>
      <w:pPr>
        <w:ind w:left="5760" w:hanging="360"/>
      </w:pPr>
    </w:lvl>
    <w:lvl w:ilvl="8" w:tplc="54C4661C">
      <w:start w:val="1"/>
      <w:numFmt w:val="lowerRoman"/>
      <w:lvlText w:val="%9."/>
      <w:lvlJc w:val="right"/>
      <w:pPr>
        <w:ind w:left="6480" w:hanging="180"/>
      </w:pPr>
    </w:lvl>
  </w:abstractNum>
  <w:abstractNum w:abstractNumId="15" w15:restartNumberingAfterBreak="0">
    <w:nsid w:val="69E25DCF"/>
    <w:multiLevelType w:val="hybridMultilevel"/>
    <w:tmpl w:val="1054C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366BDB"/>
    <w:multiLevelType w:val="hybridMultilevel"/>
    <w:tmpl w:val="FC527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047E28"/>
    <w:multiLevelType w:val="multilevel"/>
    <w:tmpl w:val="6C323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lowerLetter"/>
      <w:pStyle w:val="Subpara1"/>
      <w:lvlText w:val="%7."/>
      <w:lvlJc w:val="left"/>
      <w:pPr>
        <w:ind w:left="227" w:hanging="227"/>
      </w:pPr>
      <w:rPr>
        <w:rFonts w:hint="default"/>
      </w:rPr>
    </w:lvl>
    <w:lvl w:ilvl="7">
      <w:start w:val="1"/>
      <w:numFmt w:val="lowerRoman"/>
      <w:pStyle w:val="Subpara2"/>
      <w:lvlText w:val="%8."/>
      <w:lvlJc w:val="left"/>
      <w:pPr>
        <w:ind w:left="454" w:hanging="227"/>
      </w:pPr>
      <w:rPr>
        <w:rFonts w:hint="default"/>
      </w:rPr>
    </w:lvl>
    <w:lvl w:ilvl="8">
      <w:start w:val="1"/>
      <w:numFmt w:val="upperLetter"/>
      <w:pStyle w:val="Subpara3"/>
      <w:lvlText w:val="%9."/>
      <w:lvlJc w:val="left"/>
      <w:pPr>
        <w:ind w:left="680" w:hanging="226"/>
      </w:pPr>
      <w:rPr>
        <w:rFonts w:hint="default"/>
      </w:rPr>
    </w:lvl>
  </w:abstractNum>
  <w:num w:numId="1">
    <w:abstractNumId w:val="9"/>
  </w:num>
  <w:num w:numId="2">
    <w:abstractNumId w:val="14"/>
  </w:num>
  <w:num w:numId="3">
    <w:abstractNumId w:val="12"/>
  </w:num>
  <w:num w:numId="4">
    <w:abstractNumId w:val="6"/>
  </w:num>
  <w:num w:numId="5">
    <w:abstractNumId w:val="5"/>
  </w:num>
  <w:num w:numId="6">
    <w:abstractNumId w:val="2"/>
  </w:num>
  <w:num w:numId="7">
    <w:abstractNumId w:val="1"/>
  </w:num>
  <w:num w:numId="8">
    <w:abstractNumId w:val="0"/>
  </w:num>
  <w:num w:numId="9">
    <w:abstractNumId w:val="17"/>
  </w:num>
  <w:num w:numId="10">
    <w:abstractNumId w:val="8"/>
  </w:num>
  <w:num w:numId="11">
    <w:abstractNumId w:val="3"/>
  </w:num>
  <w:num w:numId="12">
    <w:abstractNumId w:val="13"/>
  </w:num>
  <w:num w:numId="13">
    <w:abstractNumId w:val="11"/>
  </w:num>
  <w:num w:numId="14">
    <w:abstractNumId w:val="7"/>
  </w:num>
  <w:num w:numId="15">
    <w:abstractNumId w:val="16"/>
  </w:num>
  <w:num w:numId="16">
    <w:abstractNumId w:val="4"/>
  </w:num>
  <w:num w:numId="17">
    <w:abstractNumId w:val="15"/>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95"/>
    <w:rsid w:val="00000E0A"/>
    <w:rsid w:val="00006E52"/>
    <w:rsid w:val="0001301B"/>
    <w:rsid w:val="00020280"/>
    <w:rsid w:val="00026794"/>
    <w:rsid w:val="00031AA9"/>
    <w:rsid w:val="00032629"/>
    <w:rsid w:val="00037694"/>
    <w:rsid w:val="00037912"/>
    <w:rsid w:val="00050913"/>
    <w:rsid w:val="00053AF0"/>
    <w:rsid w:val="0007083F"/>
    <w:rsid w:val="00071D96"/>
    <w:rsid w:val="00077FE0"/>
    <w:rsid w:val="0008454D"/>
    <w:rsid w:val="0009222C"/>
    <w:rsid w:val="00092563"/>
    <w:rsid w:val="00095F85"/>
    <w:rsid w:val="000A091F"/>
    <w:rsid w:val="000A4069"/>
    <w:rsid w:val="000A4B17"/>
    <w:rsid w:val="000A556A"/>
    <w:rsid w:val="000A678B"/>
    <w:rsid w:val="000A7827"/>
    <w:rsid w:val="000A79F3"/>
    <w:rsid w:val="000B678A"/>
    <w:rsid w:val="000C04DC"/>
    <w:rsid w:val="000C7A3E"/>
    <w:rsid w:val="000D17D7"/>
    <w:rsid w:val="000D6691"/>
    <w:rsid w:val="000D6879"/>
    <w:rsid w:val="000D7492"/>
    <w:rsid w:val="000E6C62"/>
    <w:rsid w:val="000E7C0C"/>
    <w:rsid w:val="000F2B80"/>
    <w:rsid w:val="001038A5"/>
    <w:rsid w:val="00104492"/>
    <w:rsid w:val="00121F25"/>
    <w:rsid w:val="00126C62"/>
    <w:rsid w:val="00127B18"/>
    <w:rsid w:val="00136106"/>
    <w:rsid w:val="00137DE9"/>
    <w:rsid w:val="00141C74"/>
    <w:rsid w:val="00146064"/>
    <w:rsid w:val="00157202"/>
    <w:rsid w:val="00160E3B"/>
    <w:rsid w:val="00170A38"/>
    <w:rsid w:val="001812F5"/>
    <w:rsid w:val="00186793"/>
    <w:rsid w:val="00193992"/>
    <w:rsid w:val="001A07D4"/>
    <w:rsid w:val="001A1B31"/>
    <w:rsid w:val="001A4DB0"/>
    <w:rsid w:val="001A55E7"/>
    <w:rsid w:val="001B3F68"/>
    <w:rsid w:val="001B40C4"/>
    <w:rsid w:val="001B6B0C"/>
    <w:rsid w:val="001C25B9"/>
    <w:rsid w:val="001C2C77"/>
    <w:rsid w:val="001C3C4A"/>
    <w:rsid w:val="001D01EC"/>
    <w:rsid w:val="001D136C"/>
    <w:rsid w:val="001E03D4"/>
    <w:rsid w:val="001E1920"/>
    <w:rsid w:val="001E1E31"/>
    <w:rsid w:val="001E4462"/>
    <w:rsid w:val="001E55E2"/>
    <w:rsid w:val="001E75D6"/>
    <w:rsid w:val="001F5FE4"/>
    <w:rsid w:val="0020172A"/>
    <w:rsid w:val="00202458"/>
    <w:rsid w:val="002041EB"/>
    <w:rsid w:val="002079C3"/>
    <w:rsid w:val="00217435"/>
    <w:rsid w:val="00220542"/>
    <w:rsid w:val="00234406"/>
    <w:rsid w:val="002344C5"/>
    <w:rsid w:val="00240669"/>
    <w:rsid w:val="00241542"/>
    <w:rsid w:val="0024796A"/>
    <w:rsid w:val="00253DF2"/>
    <w:rsid w:val="002574EF"/>
    <w:rsid w:val="00264A9E"/>
    <w:rsid w:val="0027063E"/>
    <w:rsid w:val="00271CE8"/>
    <w:rsid w:val="00286D4C"/>
    <w:rsid w:val="00291C92"/>
    <w:rsid w:val="00292E5C"/>
    <w:rsid w:val="00294FAA"/>
    <w:rsid w:val="002A34C1"/>
    <w:rsid w:val="002A5AF4"/>
    <w:rsid w:val="002A6386"/>
    <w:rsid w:val="002A699A"/>
    <w:rsid w:val="002B5E02"/>
    <w:rsid w:val="002D3258"/>
    <w:rsid w:val="002D5135"/>
    <w:rsid w:val="002D63C5"/>
    <w:rsid w:val="002E32CA"/>
    <w:rsid w:val="002E6C51"/>
    <w:rsid w:val="002F7382"/>
    <w:rsid w:val="0030111B"/>
    <w:rsid w:val="003012E3"/>
    <w:rsid w:val="003030C7"/>
    <w:rsid w:val="003046BD"/>
    <w:rsid w:val="003058F2"/>
    <w:rsid w:val="00313EC8"/>
    <w:rsid w:val="003210FD"/>
    <w:rsid w:val="0032142D"/>
    <w:rsid w:val="0032442F"/>
    <w:rsid w:val="003244A7"/>
    <w:rsid w:val="00331696"/>
    <w:rsid w:val="00332043"/>
    <w:rsid w:val="0033256A"/>
    <w:rsid w:val="00334C3A"/>
    <w:rsid w:val="00344D8E"/>
    <w:rsid w:val="0035079A"/>
    <w:rsid w:val="00353F3F"/>
    <w:rsid w:val="00355389"/>
    <w:rsid w:val="00367626"/>
    <w:rsid w:val="0037024E"/>
    <w:rsid w:val="003778F5"/>
    <w:rsid w:val="003815CF"/>
    <w:rsid w:val="00391609"/>
    <w:rsid w:val="00391D78"/>
    <w:rsid w:val="00393197"/>
    <w:rsid w:val="00393CEC"/>
    <w:rsid w:val="00394914"/>
    <w:rsid w:val="003B0931"/>
    <w:rsid w:val="003B6AA9"/>
    <w:rsid w:val="003B7E57"/>
    <w:rsid w:val="003C0295"/>
    <w:rsid w:val="003C6AD8"/>
    <w:rsid w:val="003D5EB0"/>
    <w:rsid w:val="003F253D"/>
    <w:rsid w:val="00406797"/>
    <w:rsid w:val="004112FB"/>
    <w:rsid w:val="00412140"/>
    <w:rsid w:val="00421595"/>
    <w:rsid w:val="0042223B"/>
    <w:rsid w:val="0042742C"/>
    <w:rsid w:val="004338C9"/>
    <w:rsid w:val="004338F6"/>
    <w:rsid w:val="00433BD5"/>
    <w:rsid w:val="004354ED"/>
    <w:rsid w:val="00441E66"/>
    <w:rsid w:val="00443CB5"/>
    <w:rsid w:val="00450FAB"/>
    <w:rsid w:val="00452DDF"/>
    <w:rsid w:val="004572D9"/>
    <w:rsid w:val="00460AC5"/>
    <w:rsid w:val="00461405"/>
    <w:rsid w:val="00464245"/>
    <w:rsid w:val="00465E3E"/>
    <w:rsid w:val="004817AD"/>
    <w:rsid w:val="00485B56"/>
    <w:rsid w:val="00494E1C"/>
    <w:rsid w:val="0049690C"/>
    <w:rsid w:val="004A23EB"/>
    <w:rsid w:val="004B29A3"/>
    <w:rsid w:val="004B4B77"/>
    <w:rsid w:val="004C7584"/>
    <w:rsid w:val="004C7A6F"/>
    <w:rsid w:val="004D004D"/>
    <w:rsid w:val="004D0316"/>
    <w:rsid w:val="004D291F"/>
    <w:rsid w:val="004E533B"/>
    <w:rsid w:val="004E6571"/>
    <w:rsid w:val="004F3B66"/>
    <w:rsid w:val="004F7721"/>
    <w:rsid w:val="00504722"/>
    <w:rsid w:val="00514801"/>
    <w:rsid w:val="005154FB"/>
    <w:rsid w:val="00516BF2"/>
    <w:rsid w:val="00520FFC"/>
    <w:rsid w:val="0052142D"/>
    <w:rsid w:val="00524CBA"/>
    <w:rsid w:val="00542056"/>
    <w:rsid w:val="00544EB4"/>
    <w:rsid w:val="0055272C"/>
    <w:rsid w:val="005601BB"/>
    <w:rsid w:val="00562BFC"/>
    <w:rsid w:val="00567195"/>
    <w:rsid w:val="00570AF4"/>
    <w:rsid w:val="005716DB"/>
    <w:rsid w:val="00577C11"/>
    <w:rsid w:val="00591434"/>
    <w:rsid w:val="00593A3B"/>
    <w:rsid w:val="005A02E8"/>
    <w:rsid w:val="005A5D2B"/>
    <w:rsid w:val="005B0A78"/>
    <w:rsid w:val="005B21B5"/>
    <w:rsid w:val="005C13C7"/>
    <w:rsid w:val="005C3ED9"/>
    <w:rsid w:val="005C4FF5"/>
    <w:rsid w:val="005D073E"/>
    <w:rsid w:val="005D3223"/>
    <w:rsid w:val="005D3DF8"/>
    <w:rsid w:val="005D3F01"/>
    <w:rsid w:val="005D4B16"/>
    <w:rsid w:val="005D52AE"/>
    <w:rsid w:val="005E5032"/>
    <w:rsid w:val="005E6722"/>
    <w:rsid w:val="005F0D22"/>
    <w:rsid w:val="005F1626"/>
    <w:rsid w:val="005F1674"/>
    <w:rsid w:val="00606C86"/>
    <w:rsid w:val="00611F35"/>
    <w:rsid w:val="00617AB1"/>
    <w:rsid w:val="00620A34"/>
    <w:rsid w:val="0062234A"/>
    <w:rsid w:val="00626D5F"/>
    <w:rsid w:val="00637B1C"/>
    <w:rsid w:val="00642545"/>
    <w:rsid w:val="0064424F"/>
    <w:rsid w:val="0064570E"/>
    <w:rsid w:val="00655466"/>
    <w:rsid w:val="006564A0"/>
    <w:rsid w:val="00661505"/>
    <w:rsid w:val="006747E6"/>
    <w:rsid w:val="00674CAD"/>
    <w:rsid w:val="006768A5"/>
    <w:rsid w:val="006772D8"/>
    <w:rsid w:val="006776C5"/>
    <w:rsid w:val="00682FFD"/>
    <w:rsid w:val="0068591D"/>
    <w:rsid w:val="006B5E8E"/>
    <w:rsid w:val="006C2166"/>
    <w:rsid w:val="006C4C78"/>
    <w:rsid w:val="006C4D5D"/>
    <w:rsid w:val="006C5E87"/>
    <w:rsid w:val="006D30EC"/>
    <w:rsid w:val="006E27F0"/>
    <w:rsid w:val="006E52CE"/>
    <w:rsid w:val="006F2296"/>
    <w:rsid w:val="006F276F"/>
    <w:rsid w:val="006F3ACC"/>
    <w:rsid w:val="006F56A5"/>
    <w:rsid w:val="007015E8"/>
    <w:rsid w:val="007062D8"/>
    <w:rsid w:val="00710754"/>
    <w:rsid w:val="00711513"/>
    <w:rsid w:val="00724AA7"/>
    <w:rsid w:val="007318F3"/>
    <w:rsid w:val="00732A0C"/>
    <w:rsid w:val="00736146"/>
    <w:rsid w:val="007461C1"/>
    <w:rsid w:val="00746408"/>
    <w:rsid w:val="00766849"/>
    <w:rsid w:val="00770507"/>
    <w:rsid w:val="00780CBF"/>
    <w:rsid w:val="007810CB"/>
    <w:rsid w:val="00783AF7"/>
    <w:rsid w:val="007920BE"/>
    <w:rsid w:val="0079325D"/>
    <w:rsid w:val="007A7F8B"/>
    <w:rsid w:val="007B2E6D"/>
    <w:rsid w:val="007B31A5"/>
    <w:rsid w:val="007B3A54"/>
    <w:rsid w:val="007B701F"/>
    <w:rsid w:val="007C25BA"/>
    <w:rsid w:val="007C2A40"/>
    <w:rsid w:val="007C2E13"/>
    <w:rsid w:val="007C3AC2"/>
    <w:rsid w:val="007C6C6A"/>
    <w:rsid w:val="007E0FF3"/>
    <w:rsid w:val="007E1140"/>
    <w:rsid w:val="007E2412"/>
    <w:rsid w:val="007F4093"/>
    <w:rsid w:val="007F4F18"/>
    <w:rsid w:val="007F662A"/>
    <w:rsid w:val="00800587"/>
    <w:rsid w:val="008037F3"/>
    <w:rsid w:val="00816218"/>
    <w:rsid w:val="00820A62"/>
    <w:rsid w:val="0083041D"/>
    <w:rsid w:val="0083085F"/>
    <w:rsid w:val="00832099"/>
    <w:rsid w:val="00841E09"/>
    <w:rsid w:val="00843F55"/>
    <w:rsid w:val="0084715D"/>
    <w:rsid w:val="00855D7C"/>
    <w:rsid w:val="008577E8"/>
    <w:rsid w:val="008649A0"/>
    <w:rsid w:val="00865760"/>
    <w:rsid w:val="00873934"/>
    <w:rsid w:val="00880413"/>
    <w:rsid w:val="00881D34"/>
    <w:rsid w:val="00895206"/>
    <w:rsid w:val="008A7576"/>
    <w:rsid w:val="008B4D0A"/>
    <w:rsid w:val="008B6128"/>
    <w:rsid w:val="008B6502"/>
    <w:rsid w:val="008C2CBB"/>
    <w:rsid w:val="008E4271"/>
    <w:rsid w:val="008F222C"/>
    <w:rsid w:val="00904D26"/>
    <w:rsid w:val="0090718D"/>
    <w:rsid w:val="00914D09"/>
    <w:rsid w:val="009152A7"/>
    <w:rsid w:val="00920C8E"/>
    <w:rsid w:val="00925749"/>
    <w:rsid w:val="009360B7"/>
    <w:rsid w:val="00940BD4"/>
    <w:rsid w:val="00941BCC"/>
    <w:rsid w:val="009437C3"/>
    <w:rsid w:val="00952397"/>
    <w:rsid w:val="00960217"/>
    <w:rsid w:val="00966519"/>
    <w:rsid w:val="00972BF0"/>
    <w:rsid w:val="009732CB"/>
    <w:rsid w:val="009735A0"/>
    <w:rsid w:val="00974A24"/>
    <w:rsid w:val="00975B15"/>
    <w:rsid w:val="00980D49"/>
    <w:rsid w:val="009832A3"/>
    <w:rsid w:val="0099335B"/>
    <w:rsid w:val="009B223B"/>
    <w:rsid w:val="009B648C"/>
    <w:rsid w:val="009B7F3B"/>
    <w:rsid w:val="009C020C"/>
    <w:rsid w:val="009C22BC"/>
    <w:rsid w:val="009C392D"/>
    <w:rsid w:val="009D1E45"/>
    <w:rsid w:val="009E2AD8"/>
    <w:rsid w:val="009F5A95"/>
    <w:rsid w:val="00A02F22"/>
    <w:rsid w:val="00A0431D"/>
    <w:rsid w:val="00A04532"/>
    <w:rsid w:val="00A1012A"/>
    <w:rsid w:val="00A14BE9"/>
    <w:rsid w:val="00A14E0D"/>
    <w:rsid w:val="00A23003"/>
    <w:rsid w:val="00A32BD4"/>
    <w:rsid w:val="00A34E1F"/>
    <w:rsid w:val="00A47758"/>
    <w:rsid w:val="00A5358E"/>
    <w:rsid w:val="00A63FE5"/>
    <w:rsid w:val="00A67A25"/>
    <w:rsid w:val="00A920D3"/>
    <w:rsid w:val="00A93141"/>
    <w:rsid w:val="00A93AB1"/>
    <w:rsid w:val="00A96BAA"/>
    <w:rsid w:val="00AA0973"/>
    <w:rsid w:val="00AA15AC"/>
    <w:rsid w:val="00AA2F38"/>
    <w:rsid w:val="00AC4007"/>
    <w:rsid w:val="00AC6BC3"/>
    <w:rsid w:val="00AD3ABB"/>
    <w:rsid w:val="00AD4E34"/>
    <w:rsid w:val="00AD6C4F"/>
    <w:rsid w:val="00AE6017"/>
    <w:rsid w:val="00AF3308"/>
    <w:rsid w:val="00AF3BBC"/>
    <w:rsid w:val="00AF59E5"/>
    <w:rsid w:val="00AF5CF5"/>
    <w:rsid w:val="00B01B9F"/>
    <w:rsid w:val="00B04FDB"/>
    <w:rsid w:val="00B10D0F"/>
    <w:rsid w:val="00B1108F"/>
    <w:rsid w:val="00B3185E"/>
    <w:rsid w:val="00B320AB"/>
    <w:rsid w:val="00B4010E"/>
    <w:rsid w:val="00B433FB"/>
    <w:rsid w:val="00B449F0"/>
    <w:rsid w:val="00B45E79"/>
    <w:rsid w:val="00B522C0"/>
    <w:rsid w:val="00B53001"/>
    <w:rsid w:val="00B6103B"/>
    <w:rsid w:val="00B641E3"/>
    <w:rsid w:val="00B76BE9"/>
    <w:rsid w:val="00B76E2F"/>
    <w:rsid w:val="00B80DE7"/>
    <w:rsid w:val="00B81AA6"/>
    <w:rsid w:val="00B86695"/>
    <w:rsid w:val="00B9134F"/>
    <w:rsid w:val="00B918EC"/>
    <w:rsid w:val="00B91B9D"/>
    <w:rsid w:val="00B94C68"/>
    <w:rsid w:val="00B96FB6"/>
    <w:rsid w:val="00BA7208"/>
    <w:rsid w:val="00BB03C9"/>
    <w:rsid w:val="00BC0355"/>
    <w:rsid w:val="00BC2843"/>
    <w:rsid w:val="00BD764B"/>
    <w:rsid w:val="00BD7B99"/>
    <w:rsid w:val="00BE1F82"/>
    <w:rsid w:val="00BE322B"/>
    <w:rsid w:val="00BE5245"/>
    <w:rsid w:val="00BF1F32"/>
    <w:rsid w:val="00C15030"/>
    <w:rsid w:val="00C20CC4"/>
    <w:rsid w:val="00C24BF7"/>
    <w:rsid w:val="00C2671B"/>
    <w:rsid w:val="00C336B1"/>
    <w:rsid w:val="00C35295"/>
    <w:rsid w:val="00C404FE"/>
    <w:rsid w:val="00C40EAB"/>
    <w:rsid w:val="00C43AF0"/>
    <w:rsid w:val="00C46A83"/>
    <w:rsid w:val="00C6264D"/>
    <w:rsid w:val="00C66142"/>
    <w:rsid w:val="00C67F5F"/>
    <w:rsid w:val="00C71FC7"/>
    <w:rsid w:val="00C80FE8"/>
    <w:rsid w:val="00C8190A"/>
    <w:rsid w:val="00C83EBE"/>
    <w:rsid w:val="00C853A7"/>
    <w:rsid w:val="00C9183E"/>
    <w:rsid w:val="00C97AD5"/>
    <w:rsid w:val="00CA3282"/>
    <w:rsid w:val="00CB2680"/>
    <w:rsid w:val="00CB7790"/>
    <w:rsid w:val="00CBB44C"/>
    <w:rsid w:val="00CC2196"/>
    <w:rsid w:val="00CC360C"/>
    <w:rsid w:val="00CC3EBC"/>
    <w:rsid w:val="00CC5643"/>
    <w:rsid w:val="00CD192F"/>
    <w:rsid w:val="00CD24D8"/>
    <w:rsid w:val="00D01B7C"/>
    <w:rsid w:val="00D02827"/>
    <w:rsid w:val="00D04DD5"/>
    <w:rsid w:val="00D10648"/>
    <w:rsid w:val="00D1184B"/>
    <w:rsid w:val="00D20EB0"/>
    <w:rsid w:val="00D2326B"/>
    <w:rsid w:val="00D46124"/>
    <w:rsid w:val="00D51B12"/>
    <w:rsid w:val="00D55A18"/>
    <w:rsid w:val="00D626E6"/>
    <w:rsid w:val="00D700E8"/>
    <w:rsid w:val="00D741DC"/>
    <w:rsid w:val="00D75672"/>
    <w:rsid w:val="00D83ACD"/>
    <w:rsid w:val="00D860EE"/>
    <w:rsid w:val="00D901AF"/>
    <w:rsid w:val="00D914C5"/>
    <w:rsid w:val="00D92610"/>
    <w:rsid w:val="00DA1251"/>
    <w:rsid w:val="00DA32E1"/>
    <w:rsid w:val="00DA3512"/>
    <w:rsid w:val="00DA6439"/>
    <w:rsid w:val="00DB2BEC"/>
    <w:rsid w:val="00DB3E94"/>
    <w:rsid w:val="00DB5D3A"/>
    <w:rsid w:val="00DB7F27"/>
    <w:rsid w:val="00DC66D0"/>
    <w:rsid w:val="00DD167D"/>
    <w:rsid w:val="00DD35FC"/>
    <w:rsid w:val="00DD62BF"/>
    <w:rsid w:val="00DE0252"/>
    <w:rsid w:val="00DE0EA9"/>
    <w:rsid w:val="00DF05A4"/>
    <w:rsid w:val="00E01D64"/>
    <w:rsid w:val="00E115E2"/>
    <w:rsid w:val="00E1506D"/>
    <w:rsid w:val="00E15856"/>
    <w:rsid w:val="00E2586A"/>
    <w:rsid w:val="00E31982"/>
    <w:rsid w:val="00E36C9F"/>
    <w:rsid w:val="00E3718F"/>
    <w:rsid w:val="00E404AA"/>
    <w:rsid w:val="00E43423"/>
    <w:rsid w:val="00E43B16"/>
    <w:rsid w:val="00E55F86"/>
    <w:rsid w:val="00E625F5"/>
    <w:rsid w:val="00E713AD"/>
    <w:rsid w:val="00E73B47"/>
    <w:rsid w:val="00E87EFF"/>
    <w:rsid w:val="00E92366"/>
    <w:rsid w:val="00E93754"/>
    <w:rsid w:val="00E944AE"/>
    <w:rsid w:val="00EA21E9"/>
    <w:rsid w:val="00EA2762"/>
    <w:rsid w:val="00EA614C"/>
    <w:rsid w:val="00EA6F09"/>
    <w:rsid w:val="00EB2899"/>
    <w:rsid w:val="00EC0E03"/>
    <w:rsid w:val="00EC1896"/>
    <w:rsid w:val="00EC3D49"/>
    <w:rsid w:val="00EC4E2E"/>
    <w:rsid w:val="00EC5E88"/>
    <w:rsid w:val="00ED3F03"/>
    <w:rsid w:val="00EE4CF9"/>
    <w:rsid w:val="00EE5F7D"/>
    <w:rsid w:val="00EE672D"/>
    <w:rsid w:val="00EF0AE8"/>
    <w:rsid w:val="00EF3678"/>
    <w:rsid w:val="00F0138F"/>
    <w:rsid w:val="00F0314E"/>
    <w:rsid w:val="00F0379A"/>
    <w:rsid w:val="00F03AF9"/>
    <w:rsid w:val="00F05ACB"/>
    <w:rsid w:val="00F10E21"/>
    <w:rsid w:val="00F11169"/>
    <w:rsid w:val="00F250A5"/>
    <w:rsid w:val="00F37D83"/>
    <w:rsid w:val="00F462FB"/>
    <w:rsid w:val="00F624CC"/>
    <w:rsid w:val="00F63BF1"/>
    <w:rsid w:val="00F64D3D"/>
    <w:rsid w:val="00F650A6"/>
    <w:rsid w:val="00F703B4"/>
    <w:rsid w:val="00F7666D"/>
    <w:rsid w:val="00F76E76"/>
    <w:rsid w:val="00F8149F"/>
    <w:rsid w:val="00F8680A"/>
    <w:rsid w:val="00F9299C"/>
    <w:rsid w:val="00F94E96"/>
    <w:rsid w:val="00F94F21"/>
    <w:rsid w:val="00F95039"/>
    <w:rsid w:val="00FB7A02"/>
    <w:rsid w:val="00FC05A2"/>
    <w:rsid w:val="00FC4E3F"/>
    <w:rsid w:val="00FC677D"/>
    <w:rsid w:val="00FD05F9"/>
    <w:rsid w:val="00FD1F1F"/>
    <w:rsid w:val="00FD706A"/>
    <w:rsid w:val="00FE6457"/>
    <w:rsid w:val="00FF09E4"/>
    <w:rsid w:val="00FF56BA"/>
    <w:rsid w:val="00FF6FC8"/>
    <w:rsid w:val="00FF7751"/>
    <w:rsid w:val="00FF7E73"/>
    <w:rsid w:val="0110956C"/>
    <w:rsid w:val="0153D89E"/>
    <w:rsid w:val="016A0DA7"/>
    <w:rsid w:val="01A088C3"/>
    <w:rsid w:val="02693D59"/>
    <w:rsid w:val="029BCA81"/>
    <w:rsid w:val="0308D15C"/>
    <w:rsid w:val="03CA0727"/>
    <w:rsid w:val="04C67FF3"/>
    <w:rsid w:val="052FF7A2"/>
    <w:rsid w:val="055FD7A8"/>
    <w:rsid w:val="07343511"/>
    <w:rsid w:val="073CAE7C"/>
    <w:rsid w:val="074FC4EB"/>
    <w:rsid w:val="07F9BFFF"/>
    <w:rsid w:val="094CFAF1"/>
    <w:rsid w:val="0A52AD76"/>
    <w:rsid w:val="0B13E341"/>
    <w:rsid w:val="0B9F3926"/>
    <w:rsid w:val="0C29846A"/>
    <w:rsid w:val="0CAFB3A2"/>
    <w:rsid w:val="0D42F70D"/>
    <w:rsid w:val="0EFFC982"/>
    <w:rsid w:val="102ED055"/>
    <w:rsid w:val="125EE3B3"/>
    <w:rsid w:val="12B1EE4B"/>
    <w:rsid w:val="13F98FBC"/>
    <w:rsid w:val="145D40D7"/>
    <w:rsid w:val="14BAC587"/>
    <w:rsid w:val="14BE1773"/>
    <w:rsid w:val="14DE42E7"/>
    <w:rsid w:val="1639DE5F"/>
    <w:rsid w:val="196F04D0"/>
    <w:rsid w:val="19750E4D"/>
    <w:rsid w:val="19C93D3D"/>
    <w:rsid w:val="1A90A7E2"/>
    <w:rsid w:val="1B10DEAE"/>
    <w:rsid w:val="1BBD4A76"/>
    <w:rsid w:val="1CACAF0F"/>
    <w:rsid w:val="1D1A42CA"/>
    <w:rsid w:val="1D755A13"/>
    <w:rsid w:val="1DA07202"/>
    <w:rsid w:val="1E0C10A3"/>
    <w:rsid w:val="1E1ADFDE"/>
    <w:rsid w:val="1E9CAE60"/>
    <w:rsid w:val="1EB53E4A"/>
    <w:rsid w:val="1EE466DB"/>
    <w:rsid w:val="1F7748F6"/>
    <w:rsid w:val="20510EAB"/>
    <w:rsid w:val="207DD244"/>
    <w:rsid w:val="2101DE80"/>
    <w:rsid w:val="224CC3C5"/>
    <w:rsid w:val="231BF093"/>
    <w:rsid w:val="233518F0"/>
    <w:rsid w:val="23D179AE"/>
    <w:rsid w:val="24C4C34E"/>
    <w:rsid w:val="25FF134C"/>
    <w:rsid w:val="266CB9B2"/>
    <w:rsid w:val="2789A556"/>
    <w:rsid w:val="289BCD7E"/>
    <w:rsid w:val="2AF91018"/>
    <w:rsid w:val="2B270278"/>
    <w:rsid w:val="2B6E1C63"/>
    <w:rsid w:val="2BCB0CBF"/>
    <w:rsid w:val="2D1D36A3"/>
    <w:rsid w:val="2DE922F4"/>
    <w:rsid w:val="2F75E38D"/>
    <w:rsid w:val="2FFA739B"/>
    <w:rsid w:val="30297197"/>
    <w:rsid w:val="30462920"/>
    <w:rsid w:val="31B6E192"/>
    <w:rsid w:val="3297D297"/>
    <w:rsid w:val="33792E48"/>
    <w:rsid w:val="350F202B"/>
    <w:rsid w:val="3533F9AE"/>
    <w:rsid w:val="35B06CDA"/>
    <w:rsid w:val="35C99537"/>
    <w:rsid w:val="363BC2BF"/>
    <w:rsid w:val="36B442F5"/>
    <w:rsid w:val="3799161D"/>
    <w:rsid w:val="37D79320"/>
    <w:rsid w:val="383ACA97"/>
    <w:rsid w:val="385FE94A"/>
    <w:rsid w:val="3861DE64"/>
    <w:rsid w:val="391F8817"/>
    <w:rsid w:val="39FBB9AB"/>
    <w:rsid w:val="3B0F33E2"/>
    <w:rsid w:val="3B77A0F0"/>
    <w:rsid w:val="3CC42CA0"/>
    <w:rsid w:val="3CD4BE26"/>
    <w:rsid w:val="3F302FC0"/>
    <w:rsid w:val="41045A58"/>
    <w:rsid w:val="4113995A"/>
    <w:rsid w:val="41BBCA85"/>
    <w:rsid w:val="42885172"/>
    <w:rsid w:val="4322334D"/>
    <w:rsid w:val="4374BBD2"/>
    <w:rsid w:val="44144FD5"/>
    <w:rsid w:val="442421D3"/>
    <w:rsid w:val="4443E8A0"/>
    <w:rsid w:val="45055AD9"/>
    <w:rsid w:val="45519C43"/>
    <w:rsid w:val="45D4F649"/>
    <w:rsid w:val="45DF40B4"/>
    <w:rsid w:val="46019737"/>
    <w:rsid w:val="4662780F"/>
    <w:rsid w:val="477B1928"/>
    <w:rsid w:val="481CCDA2"/>
    <w:rsid w:val="4916E989"/>
    <w:rsid w:val="4989874B"/>
    <w:rsid w:val="499A18D1"/>
    <w:rsid w:val="49C6DC6A"/>
    <w:rsid w:val="49ED58BF"/>
    <w:rsid w:val="4A13D28F"/>
    <w:rsid w:val="4AB2B9EA"/>
    <w:rsid w:val="4B06C0A1"/>
    <w:rsid w:val="4B35E932"/>
    <w:rsid w:val="4E6D89F4"/>
    <w:rsid w:val="4E9A4D8D"/>
    <w:rsid w:val="4EF87E89"/>
    <w:rsid w:val="4FBFE92E"/>
    <w:rsid w:val="4FC1DE48"/>
    <w:rsid w:val="4FD4B849"/>
    <w:rsid w:val="4FDA31C4"/>
    <w:rsid w:val="4FF8C8CF"/>
    <w:rsid w:val="5081AFB6"/>
    <w:rsid w:val="51FBDE8F"/>
    <w:rsid w:val="52A513AC"/>
    <w:rsid w:val="52AA5B51"/>
    <w:rsid w:val="52F0C931"/>
    <w:rsid w:val="537FAE42"/>
    <w:rsid w:val="53BAB4D5"/>
    <w:rsid w:val="54242C84"/>
    <w:rsid w:val="54954F6B"/>
    <w:rsid w:val="55AEC20E"/>
    <w:rsid w:val="55C7EA6B"/>
    <w:rsid w:val="5623CE59"/>
    <w:rsid w:val="56FA431D"/>
    <w:rsid w:val="5712C86F"/>
    <w:rsid w:val="573D363B"/>
    <w:rsid w:val="57781495"/>
    <w:rsid w:val="577884CF"/>
    <w:rsid w:val="57F8E6F8"/>
    <w:rsid w:val="5A2B9583"/>
    <w:rsid w:val="5BE688D4"/>
    <w:rsid w:val="5C3FB349"/>
    <w:rsid w:val="5D6984A1"/>
    <w:rsid w:val="5D7A1FED"/>
    <w:rsid w:val="5DB9D3F3"/>
    <w:rsid w:val="5E7E0496"/>
    <w:rsid w:val="5E9748FA"/>
    <w:rsid w:val="5ECA4E6F"/>
    <w:rsid w:val="6016DA1F"/>
    <w:rsid w:val="609937DD"/>
    <w:rsid w:val="60BC132D"/>
    <w:rsid w:val="61078DCE"/>
    <w:rsid w:val="61E8C6D4"/>
    <w:rsid w:val="62167BF4"/>
    <w:rsid w:val="6220F5B0"/>
    <w:rsid w:val="623CF5C4"/>
    <w:rsid w:val="6317905A"/>
    <w:rsid w:val="634E7AE1"/>
    <w:rsid w:val="63D0D89F"/>
    <w:rsid w:val="644554B3"/>
    <w:rsid w:val="6531A26D"/>
    <w:rsid w:val="66256560"/>
    <w:rsid w:val="66861BA3"/>
    <w:rsid w:val="66D56054"/>
    <w:rsid w:val="67087961"/>
    <w:rsid w:val="671066E7"/>
    <w:rsid w:val="671FE912"/>
    <w:rsid w:val="673B0689"/>
    <w:rsid w:val="6760B639"/>
    <w:rsid w:val="677CF575"/>
    <w:rsid w:val="67BC9A27"/>
    <w:rsid w:val="684618C6"/>
    <w:rsid w:val="685AA4AA"/>
    <w:rsid w:val="68A449C2"/>
    <w:rsid w:val="68C6338B"/>
    <w:rsid w:val="691C27E8"/>
    <w:rsid w:val="697EE458"/>
    <w:rsid w:val="6A9856FB"/>
    <w:rsid w:val="6B72F191"/>
    <w:rsid w:val="6CB2F902"/>
    <w:rsid w:val="6CBE72A0"/>
    <w:rsid w:val="6E2BDBAB"/>
    <w:rsid w:val="6E52557B"/>
    <w:rsid w:val="6F1B78CC"/>
    <w:rsid w:val="6F3C3AE6"/>
    <w:rsid w:val="70F4AF2A"/>
    <w:rsid w:val="7107987F"/>
    <w:rsid w:val="718B9567"/>
    <w:rsid w:val="7191E3C3"/>
    <w:rsid w:val="71FBF74A"/>
    <w:rsid w:val="7253198E"/>
    <w:rsid w:val="737E0376"/>
    <w:rsid w:val="73ABF5D6"/>
    <w:rsid w:val="74C196FF"/>
    <w:rsid w:val="74DA1FD1"/>
    <w:rsid w:val="7533E57F"/>
    <w:rsid w:val="77659F2C"/>
    <w:rsid w:val="782674B0"/>
    <w:rsid w:val="78678DB2"/>
    <w:rsid w:val="7886DC32"/>
    <w:rsid w:val="78D9CAC3"/>
    <w:rsid w:val="7AE107ED"/>
    <w:rsid w:val="7B4B8C64"/>
    <w:rsid w:val="7CD4966A"/>
    <w:rsid w:val="7D941389"/>
    <w:rsid w:val="7E0A4849"/>
    <w:rsid w:val="7F319C96"/>
    <w:rsid w:val="7FE5BD5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744C6"/>
  <w15:chartTrackingRefBased/>
  <w15:docId w15:val="{FF703009-155C-42A6-8812-2E49B0AD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C2166"/>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1"/>
    <w:qFormat/>
    <w:rsid w:val="003F253D"/>
    <w:pPr>
      <w:keepNext/>
      <w:keepLines/>
      <w:numPr>
        <w:numId w:val="9"/>
      </w:numPr>
      <w:spacing w:before="240" w:line="276" w:lineRule="auto"/>
      <w:outlineLvl w:val="0"/>
    </w:pPr>
    <w:rPr>
      <w:b/>
      <w:caps/>
      <w:color w:val="1ED2E6" w:themeColor="accent1"/>
      <w:sz w:val="24"/>
      <w:szCs w:val="24"/>
    </w:rPr>
  </w:style>
  <w:style w:type="paragraph" w:styleId="Heading2">
    <w:name w:val="heading 2"/>
    <w:aliases w:val="Num Heading 2"/>
    <w:basedOn w:val="Normal"/>
    <w:next w:val="Normal"/>
    <w:link w:val="Heading2Char"/>
    <w:uiPriority w:val="1"/>
    <w:unhideWhenUsed/>
    <w:qFormat/>
    <w:rsid w:val="003F253D"/>
    <w:pPr>
      <w:keepNext/>
      <w:keepLines/>
      <w:numPr>
        <w:ilvl w:val="1"/>
        <w:numId w:val="9"/>
      </w:numPr>
      <w:spacing w:before="120" w:line="276" w:lineRule="auto"/>
      <w:outlineLvl w:val="1"/>
    </w:pPr>
    <w:rPr>
      <w:b/>
      <w:color w:val="1ED2E6" w:themeColor="accent1"/>
      <w:sz w:val="22"/>
      <w:szCs w:val="22"/>
    </w:rPr>
  </w:style>
  <w:style w:type="paragraph" w:styleId="Heading3">
    <w:name w:val="heading 3"/>
    <w:aliases w:val="Num Heading 3"/>
    <w:basedOn w:val="Normal"/>
    <w:next w:val="Normal"/>
    <w:link w:val="Heading3Char"/>
    <w:uiPriority w:val="1"/>
    <w:unhideWhenUsed/>
    <w:qFormat/>
    <w:rsid w:val="003F253D"/>
    <w:pPr>
      <w:keepNext/>
      <w:keepLines/>
      <w:numPr>
        <w:ilvl w:val="2"/>
        <w:numId w:val="9"/>
      </w:numPr>
      <w:spacing w:line="276" w:lineRule="auto"/>
      <w:outlineLvl w:val="2"/>
    </w:pPr>
    <w:rPr>
      <w:bCs/>
      <w:color w:val="1ED2E6" w:themeColor="accent1"/>
      <w:szCs w:val="20"/>
    </w:rPr>
  </w:style>
  <w:style w:type="paragraph" w:styleId="Heading4">
    <w:name w:val="heading 4"/>
    <w:aliases w:val="Num Heading 4"/>
    <w:basedOn w:val="Normal"/>
    <w:next w:val="Normal"/>
    <w:link w:val="Heading4Char"/>
    <w:uiPriority w:val="1"/>
    <w:unhideWhenUsed/>
    <w:qFormat/>
    <w:rsid w:val="003F253D"/>
    <w:pPr>
      <w:keepNext/>
      <w:keepLines/>
      <w:numPr>
        <w:ilvl w:val="3"/>
        <w:numId w:val="9"/>
      </w:numPr>
      <w:spacing w:line="276" w:lineRule="auto"/>
      <w:outlineLvl w:val="3"/>
    </w:pPr>
    <w:rPr>
      <w:bCs/>
      <w:color w:val="5A5B5E" w:themeColor="background2"/>
      <w:szCs w:val="20"/>
    </w:rPr>
  </w:style>
  <w:style w:type="paragraph" w:styleId="Heading5">
    <w:name w:val="heading 5"/>
    <w:aliases w:val="Num Heading 5"/>
    <w:basedOn w:val="Normal"/>
    <w:next w:val="Normal"/>
    <w:link w:val="Heading5Char"/>
    <w:uiPriority w:val="1"/>
    <w:unhideWhenUsed/>
    <w:qFormat/>
    <w:rsid w:val="003F253D"/>
    <w:pPr>
      <w:keepNext/>
      <w:keepLines/>
      <w:numPr>
        <w:ilvl w:val="4"/>
        <w:numId w:val="9"/>
      </w:numPr>
      <w:spacing w:line="276" w:lineRule="auto"/>
      <w:outlineLvl w:val="4"/>
    </w:pPr>
    <w:rPr>
      <w:bCs/>
      <w:color w:val="9B9C9F" w:themeColor="background2" w:themeTint="99"/>
    </w:rPr>
  </w:style>
  <w:style w:type="paragraph" w:styleId="Heading6">
    <w:name w:val="heading 6"/>
    <w:aliases w:val="Num Heading 6"/>
    <w:basedOn w:val="Normal"/>
    <w:next w:val="Normal"/>
    <w:link w:val="Heading6Char"/>
    <w:uiPriority w:val="1"/>
    <w:unhideWhenUsed/>
    <w:qFormat/>
    <w:rsid w:val="003F253D"/>
    <w:pPr>
      <w:keepNext/>
      <w:keepLines/>
      <w:numPr>
        <w:ilvl w:val="5"/>
        <w:numId w:val="9"/>
      </w:numPr>
      <w:spacing w:line="276" w:lineRule="auto"/>
      <w:outlineLvl w:val="5"/>
    </w:pPr>
    <w:rPr>
      <w:bCs/>
      <w:color w:val="BABCBF" w:themeColor="accent6"/>
    </w:rPr>
  </w:style>
  <w:style w:type="paragraph" w:styleId="Heading7">
    <w:name w:val="heading 7"/>
    <w:basedOn w:val="Normal"/>
    <w:next w:val="Normal"/>
    <w:link w:val="Heading7Char"/>
    <w:uiPriority w:val="9"/>
    <w:semiHidden/>
    <w:qFormat/>
    <w:rsid w:val="003F253D"/>
    <w:pPr>
      <w:outlineLvl w:val="6"/>
    </w:pPr>
  </w:style>
  <w:style w:type="paragraph" w:styleId="Heading8">
    <w:name w:val="heading 8"/>
    <w:basedOn w:val="Normal"/>
    <w:next w:val="Normal"/>
    <w:link w:val="Heading8Char"/>
    <w:uiPriority w:val="9"/>
    <w:semiHidden/>
    <w:qFormat/>
    <w:rsid w:val="003F253D"/>
    <w:pPr>
      <w:outlineLvl w:val="7"/>
    </w:pPr>
  </w:style>
  <w:style w:type="paragraph" w:styleId="Heading9">
    <w:name w:val="heading 9"/>
    <w:basedOn w:val="Normal"/>
    <w:next w:val="Normal"/>
    <w:link w:val="Heading9Char"/>
    <w:uiPriority w:val="9"/>
    <w:semiHidden/>
    <w:qFormat/>
    <w:rsid w:val="003F2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91B9D"/>
    <w:pPr>
      <w:spacing w:before="0" w:line="200" w:lineRule="atLeast"/>
      <w:contextualSpacing/>
    </w:pPr>
    <w:rPr>
      <w:rFonts w:asciiTheme="majorHAnsi" w:eastAsiaTheme="majorEastAsia" w:hAnsiTheme="majorHAnsi" w:cstheme="majorBidi"/>
      <w:b/>
      <w:caps/>
      <w:color w:val="1ED2E6" w:themeColor="accent1"/>
      <w:spacing w:val="-10"/>
      <w:kern w:val="28"/>
      <w:sz w:val="60"/>
      <w:szCs w:val="60"/>
    </w:rPr>
  </w:style>
  <w:style w:type="character" w:customStyle="1" w:styleId="TitleChar">
    <w:name w:val="Title Char"/>
    <w:basedOn w:val="DefaultParagraphFont"/>
    <w:link w:val="Title"/>
    <w:uiPriority w:val="99"/>
    <w:rsid w:val="00B91B9D"/>
    <w:rPr>
      <w:rFonts w:asciiTheme="majorHAnsi" w:eastAsiaTheme="majorEastAsia" w:hAnsiTheme="majorHAnsi" w:cstheme="majorBidi"/>
      <w:b/>
      <w:caps/>
      <w:color w:val="1ED2E6" w:themeColor="accent1"/>
      <w:spacing w:val="-10"/>
      <w:kern w:val="28"/>
      <w:sz w:val="60"/>
      <w:szCs w:val="60"/>
      <w:lang w:val="en-GB"/>
    </w:rPr>
  </w:style>
  <w:style w:type="paragraph" w:styleId="Subtitle">
    <w:name w:val="Subtitle"/>
    <w:basedOn w:val="Normal"/>
    <w:next w:val="Normal"/>
    <w:link w:val="SubtitleChar"/>
    <w:uiPriority w:val="99"/>
    <w:qFormat/>
    <w:rsid w:val="00B91B9D"/>
    <w:pPr>
      <w:numPr>
        <w:ilvl w:val="1"/>
      </w:numPr>
      <w:spacing w:before="0" w:after="960" w:line="400" w:lineRule="exact"/>
    </w:pPr>
    <w:rPr>
      <w:rFonts w:eastAsiaTheme="minorEastAsia"/>
      <w:b/>
      <w:bCs/>
      <w:color w:val="1ED2E6" w:themeColor="accent1"/>
      <w:sz w:val="32"/>
      <w:szCs w:val="32"/>
    </w:rPr>
  </w:style>
  <w:style w:type="character" w:customStyle="1" w:styleId="SubtitleChar">
    <w:name w:val="Subtitle Char"/>
    <w:basedOn w:val="DefaultParagraphFont"/>
    <w:link w:val="Subtitle"/>
    <w:uiPriority w:val="99"/>
    <w:rsid w:val="00B91B9D"/>
    <w:rPr>
      <w:rFonts w:eastAsiaTheme="minorEastAsia"/>
      <w:b/>
      <w:bCs/>
      <w:color w:val="1ED2E6" w:themeColor="accent1"/>
      <w:sz w:val="32"/>
      <w:szCs w:val="32"/>
      <w:lang w:val="en-GB"/>
    </w:rPr>
  </w:style>
  <w:style w:type="character" w:customStyle="1" w:styleId="Heading1Char">
    <w:name w:val="Heading 1 Char"/>
    <w:aliases w:val="Num Heading 1 Char"/>
    <w:basedOn w:val="DefaultParagraphFont"/>
    <w:link w:val="Heading1"/>
    <w:uiPriority w:val="1"/>
    <w:rsid w:val="003F253D"/>
    <w:rPr>
      <w:b/>
      <w:caps/>
      <w:color w:val="1ED2E6" w:themeColor="accent1"/>
      <w:sz w:val="24"/>
      <w:szCs w:val="24"/>
      <w:lang w:val="en-GB"/>
    </w:rPr>
  </w:style>
  <w:style w:type="character" w:customStyle="1" w:styleId="Heading2Char">
    <w:name w:val="Heading 2 Char"/>
    <w:aliases w:val="Num Heading 2 Char"/>
    <w:basedOn w:val="DefaultParagraphFont"/>
    <w:link w:val="Heading2"/>
    <w:uiPriority w:val="1"/>
    <w:rsid w:val="003F253D"/>
    <w:rPr>
      <w:b/>
      <w:color w:val="1ED2E6" w:themeColor="accent1"/>
      <w:lang w:val="en-GB"/>
    </w:rPr>
  </w:style>
  <w:style w:type="character" w:customStyle="1" w:styleId="Heading3Char">
    <w:name w:val="Heading 3 Char"/>
    <w:aliases w:val="Num Heading 3 Char"/>
    <w:basedOn w:val="DefaultParagraphFont"/>
    <w:link w:val="Heading3"/>
    <w:uiPriority w:val="1"/>
    <w:rsid w:val="003F253D"/>
    <w:rPr>
      <w:bCs/>
      <w:color w:val="1ED2E6" w:themeColor="accent1"/>
      <w:sz w:val="20"/>
      <w:szCs w:val="20"/>
      <w:lang w:val="en-GB"/>
    </w:rPr>
  </w:style>
  <w:style w:type="character" w:customStyle="1" w:styleId="Heading4Char">
    <w:name w:val="Heading 4 Char"/>
    <w:aliases w:val="Num Heading 4 Char"/>
    <w:basedOn w:val="DefaultParagraphFont"/>
    <w:link w:val="Heading4"/>
    <w:uiPriority w:val="1"/>
    <w:rsid w:val="003F253D"/>
    <w:rPr>
      <w:bCs/>
      <w:color w:val="5A5B5E" w:themeColor="background2"/>
      <w:sz w:val="20"/>
      <w:szCs w:val="20"/>
      <w:lang w:val="en-GB"/>
    </w:rPr>
  </w:style>
  <w:style w:type="character" w:customStyle="1" w:styleId="Heading5Char">
    <w:name w:val="Heading 5 Char"/>
    <w:aliases w:val="Num Heading 5 Char"/>
    <w:basedOn w:val="DefaultParagraphFont"/>
    <w:link w:val="Heading5"/>
    <w:uiPriority w:val="1"/>
    <w:rsid w:val="003F253D"/>
    <w:rPr>
      <w:bCs/>
      <w:color w:val="9B9C9F" w:themeColor="background2" w:themeTint="99"/>
      <w:sz w:val="20"/>
      <w:szCs w:val="18"/>
      <w:lang w:val="en-GB"/>
    </w:rPr>
  </w:style>
  <w:style w:type="character" w:customStyle="1" w:styleId="Heading6Char">
    <w:name w:val="Heading 6 Char"/>
    <w:aliases w:val="Num Heading 6 Char"/>
    <w:basedOn w:val="DefaultParagraphFont"/>
    <w:link w:val="Heading6"/>
    <w:uiPriority w:val="1"/>
    <w:rsid w:val="003F253D"/>
    <w:rPr>
      <w:bCs/>
      <w:color w:val="BABCBF" w:themeColor="accent6"/>
      <w:sz w:val="20"/>
      <w:szCs w:val="18"/>
      <w:lang w:val="en-GB"/>
    </w:rPr>
  </w:style>
  <w:style w:type="character" w:customStyle="1" w:styleId="Heading7Char">
    <w:name w:val="Heading 7 Char"/>
    <w:basedOn w:val="DefaultParagraphFont"/>
    <w:link w:val="Heading7"/>
    <w:uiPriority w:val="9"/>
    <w:semiHidden/>
    <w:rsid w:val="003F253D"/>
    <w:rPr>
      <w:sz w:val="20"/>
      <w:szCs w:val="18"/>
      <w:lang w:val="en-GB"/>
    </w:rPr>
  </w:style>
  <w:style w:type="character" w:customStyle="1" w:styleId="Heading8Char">
    <w:name w:val="Heading 8 Char"/>
    <w:basedOn w:val="DefaultParagraphFont"/>
    <w:link w:val="Heading8"/>
    <w:uiPriority w:val="9"/>
    <w:semiHidden/>
    <w:rsid w:val="003F253D"/>
    <w:rPr>
      <w:sz w:val="20"/>
      <w:szCs w:val="18"/>
      <w:lang w:val="en-GB"/>
    </w:rPr>
  </w:style>
  <w:style w:type="character" w:customStyle="1" w:styleId="Heading9Char">
    <w:name w:val="Heading 9 Char"/>
    <w:basedOn w:val="DefaultParagraphFont"/>
    <w:link w:val="Heading9"/>
    <w:uiPriority w:val="9"/>
    <w:semiHidden/>
    <w:rsid w:val="003F253D"/>
    <w:rPr>
      <w:sz w:val="20"/>
      <w:szCs w:val="18"/>
      <w:lang w:val="en-GB"/>
    </w:rPr>
  </w:style>
  <w:style w:type="paragraph" w:styleId="ListParagraph">
    <w:name w:val="List Paragraph"/>
    <w:basedOn w:val="Normal"/>
    <w:uiPriority w:val="34"/>
    <w:qFormat/>
    <w:rsid w:val="003F253D"/>
    <w:pPr>
      <w:ind w:left="720"/>
      <w:contextualSpacing/>
    </w:pPr>
  </w:style>
  <w:style w:type="character" w:styleId="Strong">
    <w:name w:val="Strong"/>
    <w:aliases w:val="*Bold"/>
    <w:basedOn w:val="DefaultParagraphFont"/>
    <w:uiPriority w:val="99"/>
    <w:qFormat/>
    <w:rsid w:val="003F253D"/>
    <w:rPr>
      <w:b/>
      <w:bCs/>
    </w:rPr>
  </w:style>
  <w:style w:type="character" w:styleId="Emphasis">
    <w:name w:val="Emphasis"/>
    <w:aliases w:val="*Italics"/>
    <w:basedOn w:val="DefaultParagraphFont"/>
    <w:uiPriority w:val="99"/>
    <w:qFormat/>
    <w:rsid w:val="003F253D"/>
    <w:rPr>
      <w:i/>
      <w:iCs/>
    </w:rPr>
  </w:style>
  <w:style w:type="paragraph" w:styleId="ListBullet">
    <w:name w:val="List Bullet"/>
    <w:basedOn w:val="ListParagraph"/>
    <w:qFormat/>
    <w:rsid w:val="003F253D"/>
    <w:pPr>
      <w:numPr>
        <w:numId w:val="5"/>
      </w:numPr>
    </w:pPr>
    <w:rPr>
      <w:color w:val="5B5D62" w:themeColor="accent6" w:themeShade="80"/>
    </w:rPr>
  </w:style>
  <w:style w:type="paragraph" w:styleId="ListBullet2">
    <w:name w:val="List Bullet 2"/>
    <w:basedOn w:val="Normal"/>
    <w:qFormat/>
    <w:rsid w:val="003F253D"/>
    <w:pPr>
      <w:numPr>
        <w:ilvl w:val="1"/>
        <w:numId w:val="5"/>
      </w:numPr>
      <w:contextualSpacing/>
    </w:pPr>
    <w:rPr>
      <w:color w:val="5B5D62" w:themeColor="accent6" w:themeShade="80"/>
    </w:rPr>
  </w:style>
  <w:style w:type="paragraph" w:styleId="ListBullet3">
    <w:name w:val="List Bullet 3"/>
    <w:basedOn w:val="Normal"/>
    <w:qFormat/>
    <w:rsid w:val="003F253D"/>
    <w:pPr>
      <w:numPr>
        <w:ilvl w:val="2"/>
        <w:numId w:val="5"/>
      </w:numPr>
      <w:contextualSpacing/>
    </w:pPr>
    <w:rPr>
      <w:color w:val="5B5D62" w:themeColor="accent6" w:themeShade="80"/>
    </w:rPr>
  </w:style>
  <w:style w:type="paragraph" w:styleId="Header">
    <w:name w:val="header"/>
    <w:basedOn w:val="Normal"/>
    <w:link w:val="HeaderChar"/>
    <w:uiPriority w:val="99"/>
    <w:unhideWhenUsed/>
    <w:rsid w:val="003F253D"/>
    <w:pPr>
      <w:tabs>
        <w:tab w:val="center" w:pos="4513"/>
        <w:tab w:val="right" w:pos="9026"/>
      </w:tabs>
      <w:spacing w:line="240" w:lineRule="auto"/>
    </w:pPr>
  </w:style>
  <w:style w:type="character" w:customStyle="1" w:styleId="HeaderChar">
    <w:name w:val="Header Char"/>
    <w:basedOn w:val="DefaultParagraphFont"/>
    <w:link w:val="Header"/>
    <w:uiPriority w:val="99"/>
    <w:rsid w:val="003F253D"/>
    <w:rPr>
      <w:sz w:val="20"/>
      <w:szCs w:val="18"/>
      <w:lang w:val="en-GB"/>
    </w:rPr>
  </w:style>
  <w:style w:type="paragraph" w:styleId="Footer">
    <w:name w:val="footer"/>
    <w:basedOn w:val="Normal"/>
    <w:link w:val="FooterChar"/>
    <w:uiPriority w:val="99"/>
    <w:unhideWhenUsed/>
    <w:rsid w:val="003F253D"/>
    <w:pPr>
      <w:pBdr>
        <w:top w:val="single" w:sz="4" w:space="16" w:color="5B5D62" w:themeColor="accent6" w:themeShade="80"/>
      </w:pBdr>
      <w:tabs>
        <w:tab w:val="center" w:pos="4513"/>
        <w:tab w:val="right" w:pos="9026"/>
      </w:tabs>
      <w:spacing w:line="240" w:lineRule="auto"/>
    </w:pPr>
    <w:rPr>
      <w:color w:val="5B5D62" w:themeColor="accent6" w:themeShade="80"/>
      <w:sz w:val="16"/>
    </w:rPr>
  </w:style>
  <w:style w:type="character" w:customStyle="1" w:styleId="FooterChar">
    <w:name w:val="Footer Char"/>
    <w:basedOn w:val="DefaultParagraphFont"/>
    <w:link w:val="Footer"/>
    <w:uiPriority w:val="99"/>
    <w:rsid w:val="003F253D"/>
    <w:rPr>
      <w:color w:val="5B5D62" w:themeColor="accent6" w:themeShade="80"/>
      <w:sz w:val="16"/>
      <w:szCs w:val="18"/>
      <w:lang w:val="en-GB"/>
    </w:rPr>
  </w:style>
  <w:style w:type="paragraph" w:customStyle="1" w:styleId="Subpara1">
    <w:name w:val="Subpara 1"/>
    <w:basedOn w:val="Heading7"/>
    <w:next w:val="Normal"/>
    <w:uiPriority w:val="1"/>
    <w:qFormat/>
    <w:rsid w:val="003F253D"/>
    <w:pPr>
      <w:numPr>
        <w:ilvl w:val="6"/>
        <w:numId w:val="9"/>
      </w:numPr>
      <w:contextualSpacing/>
    </w:pPr>
    <w:rPr>
      <w:color w:val="5B5D62" w:themeColor="accent6" w:themeShade="80"/>
    </w:rPr>
  </w:style>
  <w:style w:type="paragraph" w:customStyle="1" w:styleId="Subpara2">
    <w:name w:val="Subpara 2"/>
    <w:basedOn w:val="Heading8"/>
    <w:next w:val="Normal"/>
    <w:uiPriority w:val="1"/>
    <w:qFormat/>
    <w:rsid w:val="003F253D"/>
    <w:pPr>
      <w:numPr>
        <w:ilvl w:val="7"/>
        <w:numId w:val="9"/>
      </w:numPr>
      <w:contextualSpacing/>
    </w:pPr>
    <w:rPr>
      <w:color w:val="5B5D62" w:themeColor="accent6" w:themeShade="80"/>
    </w:rPr>
  </w:style>
  <w:style w:type="paragraph" w:customStyle="1" w:styleId="Subpara3">
    <w:name w:val="Subpara 3"/>
    <w:basedOn w:val="Heading9"/>
    <w:next w:val="Normal"/>
    <w:uiPriority w:val="1"/>
    <w:qFormat/>
    <w:rsid w:val="003F253D"/>
    <w:pPr>
      <w:numPr>
        <w:ilvl w:val="8"/>
        <w:numId w:val="9"/>
      </w:numPr>
      <w:contextualSpacing/>
    </w:pPr>
    <w:rPr>
      <w:color w:val="5B5D62" w:themeColor="accent6" w:themeShade="80"/>
    </w:rPr>
  </w:style>
  <w:style w:type="table" w:styleId="TableGrid">
    <w:name w:val="Table Grid"/>
    <w:basedOn w:val="TableNormal"/>
    <w:uiPriority w:val="59"/>
    <w:rsid w:val="003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able">
    <w:name w:val="CA_Table"/>
    <w:basedOn w:val="TableNormal"/>
    <w:uiPriority w:val="99"/>
    <w:rsid w:val="00CA3282"/>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1F1F2" w:themeFill="accent6" w:themeFillTint="33"/>
    </w:tcPr>
    <w:tblStylePr w:type="firstRow">
      <w:pPr>
        <w:jc w:val="left"/>
      </w:pPr>
      <w:rPr>
        <w:b w:val="0"/>
        <w:caps w:val="0"/>
        <w:smallCaps w:val="0"/>
        <w:color w:val="auto"/>
      </w:rPr>
      <w:tblPr/>
      <w:trPr>
        <w:tblHeader/>
      </w:trPr>
      <w:tcPr>
        <w:shd w:val="clear" w:color="auto" w:fill="1ED2E6" w:themeFill="accent1"/>
        <w:vAlign w:val="bottom"/>
      </w:tcPr>
    </w:tblStylePr>
    <w:tblStylePr w:type="lastRow">
      <w:rPr>
        <w:b/>
      </w:rPr>
    </w:tblStylePr>
    <w:tblStylePr w:type="firstCol">
      <w:tblPr/>
      <w:tcPr>
        <w:shd w:val="clear" w:color="auto" w:fill="C9C9C9"/>
      </w:tcPr>
    </w:tblStylePr>
  </w:style>
  <w:style w:type="paragraph" w:customStyle="1" w:styleId="Tabletext">
    <w:name w:val="Table text"/>
    <w:basedOn w:val="Normal"/>
    <w:uiPriority w:val="2"/>
    <w:qFormat/>
    <w:rsid w:val="003F253D"/>
    <w:pPr>
      <w:spacing w:before="60" w:after="60" w:line="264" w:lineRule="auto"/>
    </w:pPr>
    <w:rPr>
      <w:color w:val="5B5D62" w:themeColor="accent6" w:themeShade="80"/>
    </w:rPr>
  </w:style>
  <w:style w:type="paragraph" w:customStyle="1" w:styleId="Tablenumbers">
    <w:name w:val="Table numbers"/>
    <w:basedOn w:val="Tabletext"/>
    <w:qFormat/>
    <w:rsid w:val="003F253D"/>
    <w:pPr>
      <w:jc w:val="right"/>
    </w:pPr>
  </w:style>
  <w:style w:type="table" w:customStyle="1" w:styleId="CABlank">
    <w:name w:val="CA_Blank"/>
    <w:basedOn w:val="TableNormal"/>
    <w:uiPriority w:val="99"/>
    <w:rsid w:val="003F253D"/>
    <w:pPr>
      <w:spacing w:after="0" w:line="240" w:lineRule="auto"/>
    </w:pPr>
    <w:tblPr>
      <w:tblCellMar>
        <w:left w:w="0" w:type="dxa"/>
        <w:right w:w="0" w:type="dxa"/>
      </w:tblCellMar>
    </w:tblPr>
  </w:style>
  <w:style w:type="paragraph" w:styleId="BodyText">
    <w:name w:val="Body Text"/>
    <w:basedOn w:val="Normal"/>
    <w:link w:val="BodyTextChar"/>
    <w:qFormat/>
    <w:rsid w:val="003F253D"/>
    <w:rPr>
      <w:color w:val="5B5D62" w:themeColor="accent6" w:themeShade="80"/>
    </w:rPr>
  </w:style>
  <w:style w:type="character" w:customStyle="1" w:styleId="BodyTextChar">
    <w:name w:val="Body Text Char"/>
    <w:basedOn w:val="DefaultParagraphFont"/>
    <w:link w:val="BodyText"/>
    <w:rsid w:val="006C2166"/>
    <w:rPr>
      <w:color w:val="5B5D62" w:themeColor="accent6" w:themeShade="80"/>
      <w:sz w:val="20"/>
      <w:szCs w:val="18"/>
      <w:lang w:val="en-GB"/>
    </w:rPr>
  </w:style>
  <w:style w:type="paragraph" w:customStyle="1" w:styleId="Tablenumbersheading">
    <w:name w:val="Table numbers (heading)"/>
    <w:basedOn w:val="Tablenumbers"/>
    <w:qFormat/>
    <w:rsid w:val="003F253D"/>
    <w:rPr>
      <w:b/>
      <w:color w:val="FFFFFF" w:themeColor="background1"/>
    </w:rPr>
  </w:style>
  <w:style w:type="paragraph" w:customStyle="1" w:styleId="Tabletextheading">
    <w:name w:val="Table text (heading)"/>
    <w:basedOn w:val="Tabletext"/>
    <w:uiPriority w:val="2"/>
    <w:qFormat/>
    <w:rsid w:val="003F253D"/>
    <w:rPr>
      <w:b/>
      <w:color w:val="FFFFFF" w:themeColor="background1"/>
    </w:rPr>
  </w:style>
  <w:style w:type="paragraph" w:styleId="NoSpacing">
    <w:name w:val="No Spacing"/>
    <w:uiPriority w:val="3"/>
    <w:qFormat/>
    <w:rsid w:val="003F253D"/>
    <w:pPr>
      <w:spacing w:after="0" w:line="240" w:lineRule="auto"/>
    </w:pPr>
    <w:rPr>
      <w:color w:val="5B5D62" w:themeColor="accent6" w:themeShade="80"/>
      <w:sz w:val="18"/>
      <w:szCs w:val="18"/>
      <w:lang w:val="en-GB"/>
    </w:rPr>
  </w:style>
  <w:style w:type="paragraph" w:customStyle="1" w:styleId="Layoutspacer">
    <w:name w:val="Layout spacer"/>
    <w:basedOn w:val="BodyText"/>
    <w:uiPriority w:val="99"/>
    <w:rsid w:val="003F253D"/>
    <w:pPr>
      <w:spacing w:before="0" w:line="240" w:lineRule="auto"/>
    </w:pPr>
    <w:rPr>
      <w:vanish/>
      <w:color w:val="C00000"/>
    </w:rPr>
  </w:style>
  <w:style w:type="character" w:styleId="PlaceholderText">
    <w:name w:val="Placeholder Text"/>
    <w:basedOn w:val="DefaultParagraphFont"/>
    <w:uiPriority w:val="99"/>
    <w:semiHidden/>
    <w:rsid w:val="003F253D"/>
    <w:rPr>
      <w:color w:val="808080"/>
    </w:rPr>
  </w:style>
  <w:style w:type="paragraph" w:styleId="Caption">
    <w:name w:val="caption"/>
    <w:basedOn w:val="Normal"/>
    <w:next w:val="Normal"/>
    <w:uiPriority w:val="3"/>
    <w:qFormat/>
    <w:rsid w:val="003F253D"/>
    <w:pPr>
      <w:spacing w:before="0" w:after="200" w:line="240" w:lineRule="auto"/>
    </w:pPr>
    <w:rPr>
      <w:iCs/>
      <w:color w:val="1ED2E6" w:themeColor="accent1"/>
    </w:rPr>
  </w:style>
  <w:style w:type="paragraph" w:styleId="TOCHeading">
    <w:name w:val="TOC Heading"/>
    <w:basedOn w:val="Heading1"/>
    <w:next w:val="Normal"/>
    <w:uiPriority w:val="99"/>
    <w:semiHidden/>
    <w:qFormat/>
    <w:rsid w:val="003F253D"/>
    <w:pPr>
      <w:numPr>
        <w:numId w:val="0"/>
      </w:numPr>
      <w:spacing w:before="0" w:after="600" w:line="312" w:lineRule="auto"/>
      <w:outlineLvl w:val="9"/>
    </w:pPr>
    <w:rPr>
      <w:rFonts w:asciiTheme="majorHAnsi" w:eastAsiaTheme="majorEastAsia" w:hAnsiTheme="majorHAnsi" w:cstheme="majorBidi"/>
      <w:caps w:val="0"/>
      <w:sz w:val="60"/>
      <w:szCs w:val="60"/>
    </w:rPr>
  </w:style>
  <w:style w:type="paragraph" w:styleId="TOC1">
    <w:name w:val="toc 1"/>
    <w:basedOn w:val="Normal"/>
    <w:next w:val="Normal"/>
    <w:autoRedefine/>
    <w:uiPriority w:val="39"/>
    <w:semiHidden/>
    <w:rsid w:val="003F253D"/>
    <w:pPr>
      <w:tabs>
        <w:tab w:val="right" w:leader="dot" w:pos="9854"/>
      </w:tabs>
      <w:spacing w:after="40"/>
    </w:pPr>
    <w:rPr>
      <w:b/>
      <w:caps/>
      <w:color w:val="1ED2E6" w:themeColor="accent1"/>
      <w:sz w:val="22"/>
      <w:szCs w:val="22"/>
    </w:rPr>
  </w:style>
  <w:style w:type="paragraph" w:styleId="TOC2">
    <w:name w:val="toc 2"/>
    <w:basedOn w:val="Normal"/>
    <w:next w:val="Normal"/>
    <w:autoRedefine/>
    <w:uiPriority w:val="39"/>
    <w:semiHidden/>
    <w:rsid w:val="003F253D"/>
    <w:pPr>
      <w:tabs>
        <w:tab w:val="left" w:pos="660"/>
        <w:tab w:val="right" w:leader="dot" w:pos="9854"/>
      </w:tabs>
      <w:spacing w:before="40" w:after="40"/>
      <w:ind w:left="180"/>
    </w:pPr>
    <w:rPr>
      <w:color w:val="5B5D62" w:themeColor="accent6" w:themeShade="80"/>
    </w:rPr>
  </w:style>
  <w:style w:type="paragraph" w:styleId="TOC3">
    <w:name w:val="toc 3"/>
    <w:basedOn w:val="Normal"/>
    <w:next w:val="Normal"/>
    <w:autoRedefine/>
    <w:uiPriority w:val="39"/>
    <w:semiHidden/>
    <w:rsid w:val="003F253D"/>
    <w:pPr>
      <w:tabs>
        <w:tab w:val="left" w:pos="1100"/>
        <w:tab w:val="right" w:leader="dot" w:pos="9854"/>
      </w:tabs>
      <w:spacing w:before="40" w:after="40"/>
      <w:ind w:left="360"/>
    </w:pPr>
    <w:rPr>
      <w:color w:val="5B5D62" w:themeColor="accent6" w:themeShade="80"/>
    </w:rPr>
  </w:style>
  <w:style w:type="character" w:styleId="Hyperlink">
    <w:name w:val="Hyperlink"/>
    <w:basedOn w:val="DefaultParagraphFont"/>
    <w:uiPriority w:val="99"/>
    <w:unhideWhenUsed/>
    <w:rsid w:val="003F253D"/>
    <w:rPr>
      <w:color w:val="1ED2E6" w:themeColor="hyperlink"/>
      <w:u w:val="single"/>
    </w:rPr>
  </w:style>
  <w:style w:type="character" w:customStyle="1" w:styleId="Accentcolour1">
    <w:name w:val="*Accent colour 1"/>
    <w:basedOn w:val="DefaultParagraphFont"/>
    <w:uiPriority w:val="99"/>
    <w:qFormat/>
    <w:rsid w:val="003F253D"/>
    <w:rPr>
      <w:color w:val="1ED2E6" w:themeColor="accent1"/>
    </w:rPr>
  </w:style>
  <w:style w:type="character" w:customStyle="1" w:styleId="Accentcolour1bold">
    <w:name w:val="*Accent colour 1 (bold)"/>
    <w:basedOn w:val="Accentcolour1"/>
    <w:uiPriority w:val="99"/>
    <w:qFormat/>
    <w:rsid w:val="003F253D"/>
    <w:rPr>
      <w:b/>
      <w:color w:val="1ED2E6" w:themeColor="accent1"/>
    </w:rPr>
  </w:style>
  <w:style w:type="character" w:customStyle="1" w:styleId="Accentcolour2">
    <w:name w:val="*Accent colour 2"/>
    <w:basedOn w:val="DefaultParagraphFont"/>
    <w:uiPriority w:val="99"/>
    <w:qFormat/>
    <w:rsid w:val="003F253D"/>
    <w:rPr>
      <w:color w:val="28A0BF" w:themeColor="accent2"/>
    </w:rPr>
  </w:style>
  <w:style w:type="character" w:customStyle="1" w:styleId="Accentcolour2bold">
    <w:name w:val="*Accent colour 2 (bold)"/>
    <w:basedOn w:val="Accentcolour2"/>
    <w:uiPriority w:val="99"/>
    <w:qFormat/>
    <w:rsid w:val="003F253D"/>
    <w:rPr>
      <w:b/>
      <w:color w:val="28A0BF" w:themeColor="accent2"/>
    </w:rPr>
  </w:style>
  <w:style w:type="character" w:customStyle="1" w:styleId="Accentcolour3">
    <w:name w:val="*Accent colour 3"/>
    <w:basedOn w:val="DefaultParagraphFont"/>
    <w:uiPriority w:val="99"/>
    <w:qFormat/>
    <w:rsid w:val="003F253D"/>
    <w:rPr>
      <w:color w:val="025B7A" w:themeColor="accent3"/>
    </w:rPr>
  </w:style>
  <w:style w:type="character" w:customStyle="1" w:styleId="Accentcolour3bold">
    <w:name w:val="*Accent colour 3 (bold)"/>
    <w:basedOn w:val="Accentcolour3"/>
    <w:uiPriority w:val="99"/>
    <w:qFormat/>
    <w:rsid w:val="003F253D"/>
    <w:rPr>
      <w:b/>
      <w:color w:val="025B7A" w:themeColor="accent3"/>
    </w:rPr>
  </w:style>
  <w:style w:type="character" w:customStyle="1" w:styleId="Accentcolour4">
    <w:name w:val="*Accent colour 4"/>
    <w:basedOn w:val="DefaultParagraphFont"/>
    <w:uiPriority w:val="99"/>
    <w:qFormat/>
    <w:rsid w:val="003F253D"/>
    <w:rPr>
      <w:color w:val="063246" w:themeColor="accent4"/>
    </w:rPr>
  </w:style>
  <w:style w:type="character" w:customStyle="1" w:styleId="Accentcolour4bold">
    <w:name w:val="*Accent colour 4 (bold)"/>
    <w:basedOn w:val="Accentcolour4"/>
    <w:uiPriority w:val="99"/>
    <w:qFormat/>
    <w:rsid w:val="003F253D"/>
    <w:rPr>
      <w:b/>
      <w:color w:val="063246" w:themeColor="accent4"/>
    </w:rPr>
  </w:style>
  <w:style w:type="character" w:customStyle="1" w:styleId="Accentcolour5">
    <w:name w:val="*Accent colour 5"/>
    <w:basedOn w:val="DefaultParagraphFont"/>
    <w:uiPriority w:val="99"/>
    <w:qFormat/>
    <w:rsid w:val="003F253D"/>
    <w:rPr>
      <w:color w:val="92E9F5" w:themeColor="accent5"/>
    </w:rPr>
  </w:style>
  <w:style w:type="character" w:customStyle="1" w:styleId="Accentcolour5bold">
    <w:name w:val="*Accent colour 5 (bold)"/>
    <w:basedOn w:val="Accentcolour5"/>
    <w:uiPriority w:val="99"/>
    <w:qFormat/>
    <w:rsid w:val="003F253D"/>
    <w:rPr>
      <w:b/>
      <w:color w:val="92E9F5" w:themeColor="accent5"/>
    </w:rPr>
  </w:style>
  <w:style w:type="character" w:customStyle="1" w:styleId="Accentcolour6">
    <w:name w:val="*Accent colour 6"/>
    <w:basedOn w:val="DefaultParagraphFont"/>
    <w:uiPriority w:val="99"/>
    <w:qFormat/>
    <w:rsid w:val="003F253D"/>
    <w:rPr>
      <w:color w:val="BABCBF" w:themeColor="accent6"/>
    </w:rPr>
  </w:style>
  <w:style w:type="character" w:customStyle="1" w:styleId="Accentcolour6bold">
    <w:name w:val="*Accent colour 6 (bold)"/>
    <w:basedOn w:val="Accentcolour6"/>
    <w:uiPriority w:val="99"/>
    <w:qFormat/>
    <w:rsid w:val="003F253D"/>
    <w:rPr>
      <w:b/>
      <w:color w:val="BABCBF" w:themeColor="accent6"/>
    </w:rPr>
  </w:style>
  <w:style w:type="character" w:customStyle="1" w:styleId="ALLCAPS">
    <w:name w:val="*ALL CAPS"/>
    <w:basedOn w:val="DefaultParagraphFont"/>
    <w:uiPriority w:val="99"/>
    <w:qFormat/>
    <w:rsid w:val="003F253D"/>
    <w:rPr>
      <w:caps/>
      <w:smallCaps w:val="0"/>
    </w:rPr>
  </w:style>
  <w:style w:type="character" w:customStyle="1" w:styleId="Subscript">
    <w:name w:val="*Subscript"/>
    <w:basedOn w:val="DefaultParagraphFont"/>
    <w:uiPriority w:val="99"/>
    <w:qFormat/>
    <w:rsid w:val="003F253D"/>
    <w:rPr>
      <w:vertAlign w:val="subscript"/>
    </w:rPr>
  </w:style>
  <w:style w:type="character" w:customStyle="1" w:styleId="Superscript">
    <w:name w:val="*Superscript"/>
    <w:basedOn w:val="DefaultParagraphFont"/>
    <w:uiPriority w:val="99"/>
    <w:qFormat/>
    <w:rsid w:val="003F253D"/>
    <w:rPr>
      <w:vertAlign w:val="superscript"/>
    </w:rPr>
  </w:style>
  <w:style w:type="paragraph" w:styleId="Quote">
    <w:name w:val="Quote"/>
    <w:basedOn w:val="BodyText"/>
    <w:next w:val="Normal"/>
    <w:link w:val="QuoteChar"/>
    <w:uiPriority w:val="3"/>
    <w:qFormat/>
    <w:rsid w:val="003F253D"/>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3"/>
    <w:rsid w:val="006C2166"/>
    <w:rPr>
      <w:b/>
      <w:bCs/>
      <w:color w:val="5B5D62" w:themeColor="accent6" w:themeShade="80"/>
      <w:sz w:val="24"/>
      <w:szCs w:val="24"/>
      <w:lang w:val="en-GB"/>
    </w:rPr>
  </w:style>
  <w:style w:type="paragraph" w:customStyle="1" w:styleId="Tablenotesorsource">
    <w:name w:val="Table notes or source"/>
    <w:basedOn w:val="BodyText"/>
    <w:qFormat/>
    <w:rsid w:val="003F253D"/>
    <w:pPr>
      <w:numPr>
        <w:numId w:val="10"/>
      </w:numPr>
    </w:pPr>
    <w:rPr>
      <w:sz w:val="16"/>
      <w:szCs w:val="16"/>
    </w:rPr>
  </w:style>
  <w:style w:type="paragraph" w:customStyle="1" w:styleId="Tablenotenumbers">
    <w:name w:val="Table note numbers"/>
    <w:basedOn w:val="BodyText"/>
    <w:qFormat/>
    <w:rsid w:val="003F253D"/>
    <w:pPr>
      <w:numPr>
        <w:ilvl w:val="1"/>
        <w:numId w:val="10"/>
      </w:numPr>
      <w:spacing w:before="40" w:after="40"/>
    </w:pPr>
    <w:rPr>
      <w:sz w:val="16"/>
      <w:szCs w:val="16"/>
    </w:rPr>
  </w:style>
  <w:style w:type="character" w:customStyle="1" w:styleId="Whitetext">
    <w:name w:val="*White text"/>
    <w:basedOn w:val="DefaultParagraphFont"/>
    <w:uiPriority w:val="99"/>
    <w:qFormat/>
    <w:rsid w:val="003F253D"/>
    <w:rPr>
      <w:color w:val="FFFFFF" w:themeColor="background1"/>
    </w:rPr>
  </w:style>
  <w:style w:type="character" w:customStyle="1" w:styleId="Companyfooter">
    <w:name w:val="*Company footer"/>
    <w:basedOn w:val="Accentcolour1bold"/>
    <w:uiPriority w:val="99"/>
    <w:qFormat/>
    <w:rsid w:val="003F253D"/>
    <w:rPr>
      <w:b/>
      <w:caps/>
      <w:color w:val="1ED2E6" w:themeColor="accent1"/>
    </w:rPr>
  </w:style>
  <w:style w:type="paragraph" w:styleId="ListNumber">
    <w:name w:val="List Number"/>
    <w:basedOn w:val="Normal"/>
    <w:qFormat/>
    <w:rsid w:val="002A699A"/>
    <w:pPr>
      <w:numPr>
        <w:numId w:val="6"/>
      </w:numPr>
      <w:ind w:left="227" w:hanging="227"/>
      <w:contextualSpacing/>
    </w:pPr>
    <w:rPr>
      <w:color w:val="5B5D62" w:themeColor="accent6" w:themeShade="80"/>
    </w:rPr>
  </w:style>
  <w:style w:type="paragraph" w:styleId="ListNumber2">
    <w:name w:val="List Number 2"/>
    <w:basedOn w:val="Normal"/>
    <w:qFormat/>
    <w:rsid w:val="002A699A"/>
    <w:pPr>
      <w:numPr>
        <w:numId w:val="7"/>
      </w:numPr>
      <w:ind w:left="454" w:hanging="227"/>
      <w:contextualSpacing/>
    </w:pPr>
    <w:rPr>
      <w:color w:val="5B5D62" w:themeColor="accent6" w:themeShade="80"/>
    </w:rPr>
  </w:style>
  <w:style w:type="paragraph" w:styleId="ListNumber3">
    <w:name w:val="List Number 3"/>
    <w:basedOn w:val="Normal"/>
    <w:qFormat/>
    <w:rsid w:val="002A699A"/>
    <w:pPr>
      <w:numPr>
        <w:numId w:val="8"/>
      </w:numPr>
      <w:ind w:left="681" w:hanging="227"/>
      <w:contextualSpacing/>
    </w:pPr>
    <w:rPr>
      <w:color w:val="5B5D62" w:themeColor="accent6" w:themeShade="80"/>
    </w:rPr>
  </w:style>
  <w:style w:type="paragraph" w:customStyle="1" w:styleId="Addressandname">
    <w:name w:val="Address and name"/>
    <w:basedOn w:val="BodyText"/>
    <w:uiPriority w:val="99"/>
    <w:semiHidden/>
    <w:rsid w:val="003F253D"/>
    <w:pPr>
      <w:spacing w:after="480" w:line="264" w:lineRule="auto"/>
      <w:contextualSpacing/>
    </w:pPr>
    <w:rPr>
      <w:color w:val="1ED2E6" w:themeColor="accent1"/>
    </w:rPr>
  </w:style>
  <w:style w:type="paragraph" w:customStyle="1" w:styleId="Header1">
    <w:name w:val="Header 1"/>
    <w:basedOn w:val="Heading1"/>
    <w:next w:val="Normal"/>
    <w:uiPriority w:val="1"/>
    <w:qFormat/>
    <w:rsid w:val="003F253D"/>
    <w:pPr>
      <w:numPr>
        <w:numId w:val="0"/>
      </w:numPr>
    </w:pPr>
  </w:style>
  <w:style w:type="paragraph" w:customStyle="1" w:styleId="AppendixHeading1">
    <w:name w:val="Appendix Heading 1"/>
    <w:basedOn w:val="Header1"/>
    <w:uiPriority w:val="2"/>
    <w:qFormat/>
    <w:rsid w:val="003F253D"/>
    <w:pPr>
      <w:numPr>
        <w:numId w:val="4"/>
      </w:numPr>
    </w:pPr>
  </w:style>
  <w:style w:type="paragraph" w:customStyle="1" w:styleId="Header2">
    <w:name w:val="Header 2"/>
    <w:basedOn w:val="Heading2"/>
    <w:next w:val="Normal"/>
    <w:uiPriority w:val="1"/>
    <w:qFormat/>
    <w:rsid w:val="003F253D"/>
    <w:pPr>
      <w:numPr>
        <w:ilvl w:val="0"/>
        <w:numId w:val="0"/>
      </w:numPr>
    </w:pPr>
  </w:style>
  <w:style w:type="paragraph" w:customStyle="1" w:styleId="AppendixHeading2">
    <w:name w:val="Appendix Heading 2"/>
    <w:basedOn w:val="Header2"/>
    <w:uiPriority w:val="2"/>
    <w:qFormat/>
    <w:rsid w:val="003F253D"/>
    <w:pPr>
      <w:numPr>
        <w:ilvl w:val="1"/>
        <w:numId w:val="4"/>
      </w:numPr>
    </w:pPr>
  </w:style>
  <w:style w:type="paragraph" w:customStyle="1" w:styleId="Header3">
    <w:name w:val="Header 3"/>
    <w:basedOn w:val="Heading3"/>
    <w:next w:val="Normal"/>
    <w:uiPriority w:val="1"/>
    <w:qFormat/>
    <w:rsid w:val="003F253D"/>
    <w:pPr>
      <w:numPr>
        <w:ilvl w:val="0"/>
        <w:numId w:val="0"/>
      </w:numPr>
    </w:pPr>
  </w:style>
  <w:style w:type="paragraph" w:customStyle="1" w:styleId="AppendixHeading3">
    <w:name w:val="Appendix Heading 3"/>
    <w:basedOn w:val="Header3"/>
    <w:uiPriority w:val="2"/>
    <w:qFormat/>
    <w:rsid w:val="003F253D"/>
    <w:pPr>
      <w:numPr>
        <w:ilvl w:val="2"/>
        <w:numId w:val="4"/>
      </w:numPr>
    </w:pPr>
  </w:style>
  <w:style w:type="paragraph" w:customStyle="1" w:styleId="Header4">
    <w:name w:val="Header 4"/>
    <w:basedOn w:val="Heading4"/>
    <w:next w:val="Normal"/>
    <w:uiPriority w:val="1"/>
    <w:qFormat/>
    <w:rsid w:val="003F253D"/>
    <w:pPr>
      <w:numPr>
        <w:ilvl w:val="0"/>
        <w:numId w:val="0"/>
      </w:numPr>
    </w:pPr>
  </w:style>
  <w:style w:type="paragraph" w:customStyle="1" w:styleId="AppendixHeading4">
    <w:name w:val="Appendix Heading 4"/>
    <w:basedOn w:val="Header4"/>
    <w:uiPriority w:val="2"/>
    <w:qFormat/>
    <w:rsid w:val="003F253D"/>
    <w:pPr>
      <w:numPr>
        <w:ilvl w:val="3"/>
        <w:numId w:val="4"/>
      </w:numPr>
    </w:pPr>
  </w:style>
  <w:style w:type="paragraph" w:customStyle="1" w:styleId="Header5">
    <w:name w:val="Header 5"/>
    <w:basedOn w:val="Heading5"/>
    <w:next w:val="Normal"/>
    <w:uiPriority w:val="1"/>
    <w:qFormat/>
    <w:rsid w:val="003F253D"/>
    <w:pPr>
      <w:numPr>
        <w:ilvl w:val="0"/>
        <w:numId w:val="0"/>
      </w:numPr>
    </w:pPr>
  </w:style>
  <w:style w:type="paragraph" w:customStyle="1" w:styleId="AppendixHeading5">
    <w:name w:val="Appendix Heading 5"/>
    <w:basedOn w:val="Header5"/>
    <w:uiPriority w:val="2"/>
    <w:qFormat/>
    <w:rsid w:val="003F253D"/>
    <w:pPr>
      <w:numPr>
        <w:ilvl w:val="4"/>
        <w:numId w:val="4"/>
      </w:numPr>
    </w:pPr>
  </w:style>
  <w:style w:type="paragraph" w:customStyle="1" w:styleId="Header6">
    <w:name w:val="Header 6"/>
    <w:basedOn w:val="Heading6"/>
    <w:next w:val="Normal"/>
    <w:uiPriority w:val="1"/>
    <w:qFormat/>
    <w:rsid w:val="003F253D"/>
    <w:pPr>
      <w:numPr>
        <w:ilvl w:val="0"/>
        <w:numId w:val="0"/>
      </w:numPr>
    </w:pPr>
  </w:style>
  <w:style w:type="paragraph" w:customStyle="1" w:styleId="AppendixHeading6">
    <w:name w:val="Appendix Heading 6"/>
    <w:basedOn w:val="Header6"/>
    <w:uiPriority w:val="2"/>
    <w:qFormat/>
    <w:rsid w:val="003F253D"/>
    <w:pPr>
      <w:numPr>
        <w:ilvl w:val="5"/>
        <w:numId w:val="4"/>
      </w:numPr>
    </w:pPr>
  </w:style>
  <w:style w:type="paragraph" w:customStyle="1" w:styleId="AppendixPara1">
    <w:name w:val="Appendix Para 1"/>
    <w:basedOn w:val="Tabletext"/>
    <w:uiPriority w:val="2"/>
    <w:qFormat/>
    <w:rsid w:val="003F253D"/>
    <w:pPr>
      <w:numPr>
        <w:ilvl w:val="6"/>
        <w:numId w:val="4"/>
      </w:numPr>
      <w:spacing w:before="160" w:after="0" w:line="312" w:lineRule="auto"/>
      <w:contextualSpacing/>
    </w:pPr>
  </w:style>
  <w:style w:type="paragraph" w:customStyle="1" w:styleId="AppendixPara2">
    <w:name w:val="Appendix Para 2"/>
    <w:basedOn w:val="Tabletext"/>
    <w:uiPriority w:val="2"/>
    <w:qFormat/>
    <w:rsid w:val="003F253D"/>
    <w:pPr>
      <w:numPr>
        <w:ilvl w:val="7"/>
        <w:numId w:val="4"/>
      </w:numPr>
      <w:spacing w:before="160" w:after="0" w:line="312" w:lineRule="auto"/>
      <w:contextualSpacing/>
    </w:pPr>
  </w:style>
  <w:style w:type="paragraph" w:customStyle="1" w:styleId="AppendixPara3">
    <w:name w:val="Appendix Para 3"/>
    <w:basedOn w:val="Tabletext"/>
    <w:uiPriority w:val="2"/>
    <w:qFormat/>
    <w:rsid w:val="003F253D"/>
    <w:pPr>
      <w:numPr>
        <w:ilvl w:val="8"/>
        <w:numId w:val="4"/>
      </w:numPr>
      <w:spacing w:before="160" w:after="0" w:line="312" w:lineRule="auto"/>
      <w:contextualSpacing/>
    </w:pPr>
  </w:style>
  <w:style w:type="paragraph" w:customStyle="1" w:styleId="Coverdate">
    <w:name w:val="Cover date"/>
    <w:basedOn w:val="Normal"/>
    <w:uiPriority w:val="99"/>
    <w:rsid w:val="003F253D"/>
    <w:rPr>
      <w:b/>
      <w:bCs/>
      <w:color w:val="888C91" w:themeColor="accent6" w:themeShade="BF"/>
      <w:sz w:val="24"/>
      <w:szCs w:val="24"/>
    </w:rPr>
  </w:style>
  <w:style w:type="paragraph" w:styleId="Date">
    <w:name w:val="Date"/>
    <w:basedOn w:val="BodyText"/>
    <w:next w:val="Normal"/>
    <w:link w:val="DateChar"/>
    <w:uiPriority w:val="99"/>
    <w:semiHidden/>
    <w:rsid w:val="003F253D"/>
    <w:pPr>
      <w:spacing w:before="0" w:after="480"/>
    </w:pPr>
  </w:style>
  <w:style w:type="character" w:customStyle="1" w:styleId="DateChar">
    <w:name w:val="Date Char"/>
    <w:basedOn w:val="DefaultParagraphFont"/>
    <w:link w:val="Date"/>
    <w:uiPriority w:val="99"/>
    <w:semiHidden/>
    <w:rsid w:val="006C2166"/>
    <w:rPr>
      <w:color w:val="5B5D62" w:themeColor="accent6" w:themeShade="80"/>
      <w:sz w:val="20"/>
      <w:szCs w:val="18"/>
      <w:lang w:val="en-GB"/>
    </w:rPr>
  </w:style>
  <w:style w:type="paragraph" w:customStyle="1" w:styleId="Letterheadheader">
    <w:name w:val="Letterhead header"/>
    <w:basedOn w:val="Addressandname"/>
    <w:uiPriority w:val="99"/>
    <w:semiHidden/>
    <w:rsid w:val="003F253D"/>
    <w:pPr>
      <w:spacing w:after="0"/>
      <w:contextualSpacing w:val="0"/>
    </w:pPr>
  </w:style>
  <w:style w:type="paragraph" w:styleId="Signature">
    <w:name w:val="Signature"/>
    <w:basedOn w:val="BodyText"/>
    <w:link w:val="SignatureChar"/>
    <w:uiPriority w:val="99"/>
    <w:semiHidden/>
    <w:rsid w:val="003F253D"/>
    <w:pPr>
      <w:spacing w:before="1200" w:line="240" w:lineRule="auto"/>
      <w:contextualSpacing/>
    </w:pPr>
  </w:style>
  <w:style w:type="character" w:customStyle="1" w:styleId="SignatureChar">
    <w:name w:val="Signature Char"/>
    <w:basedOn w:val="DefaultParagraphFont"/>
    <w:link w:val="Signature"/>
    <w:uiPriority w:val="99"/>
    <w:semiHidden/>
    <w:rsid w:val="006C2166"/>
    <w:rPr>
      <w:color w:val="5B5D62" w:themeColor="accent6" w:themeShade="80"/>
      <w:sz w:val="20"/>
      <w:szCs w:val="18"/>
      <w:lang w:val="en-GB"/>
    </w:rPr>
  </w:style>
  <w:style w:type="paragraph" w:customStyle="1" w:styleId="Signoff">
    <w:name w:val="Sign off"/>
    <w:basedOn w:val="Signature"/>
    <w:uiPriority w:val="99"/>
    <w:semiHidden/>
    <w:rsid w:val="003F253D"/>
    <w:pPr>
      <w:spacing w:before="360"/>
    </w:pPr>
  </w:style>
  <w:style w:type="paragraph" w:customStyle="1" w:styleId="Subject">
    <w:name w:val="Subject"/>
    <w:basedOn w:val="BodyText"/>
    <w:uiPriority w:val="99"/>
    <w:semiHidden/>
    <w:rsid w:val="003F253D"/>
    <w:pPr>
      <w:spacing w:after="160"/>
    </w:pPr>
    <w:rPr>
      <w:color w:val="1ED2E6" w:themeColor="accent1"/>
      <w:szCs w:val="16"/>
    </w:rPr>
  </w:style>
  <w:style w:type="character" w:styleId="UnresolvedMention">
    <w:name w:val="Unresolved Mention"/>
    <w:basedOn w:val="DefaultParagraphFont"/>
    <w:uiPriority w:val="99"/>
    <w:semiHidden/>
    <w:unhideWhenUsed/>
    <w:rsid w:val="003C0295"/>
    <w:rPr>
      <w:color w:val="605E5C"/>
      <w:shd w:val="clear" w:color="auto" w:fill="E1DFDD"/>
    </w:rPr>
  </w:style>
  <w:style w:type="paragraph" w:styleId="FootnoteText">
    <w:name w:val="footnote text"/>
    <w:basedOn w:val="Normal"/>
    <w:link w:val="FootnoteTextChar"/>
    <w:uiPriority w:val="99"/>
    <w:semiHidden/>
    <w:unhideWhenUsed/>
    <w:rsid w:val="00000E0A"/>
    <w:pPr>
      <w:spacing w:before="0" w:line="240" w:lineRule="auto"/>
    </w:pPr>
    <w:rPr>
      <w:szCs w:val="20"/>
    </w:rPr>
  </w:style>
  <w:style w:type="character" w:customStyle="1" w:styleId="FootnoteTextChar">
    <w:name w:val="Footnote Text Char"/>
    <w:basedOn w:val="DefaultParagraphFont"/>
    <w:link w:val="FootnoteText"/>
    <w:uiPriority w:val="99"/>
    <w:semiHidden/>
    <w:rsid w:val="00000E0A"/>
    <w:rPr>
      <w:sz w:val="20"/>
      <w:szCs w:val="20"/>
      <w:lang w:val="en-GB"/>
    </w:rPr>
  </w:style>
  <w:style w:type="character" w:styleId="FootnoteReference">
    <w:name w:val="footnote reference"/>
    <w:basedOn w:val="DefaultParagraphFont"/>
    <w:uiPriority w:val="99"/>
    <w:semiHidden/>
    <w:unhideWhenUsed/>
    <w:rsid w:val="00000E0A"/>
    <w:rPr>
      <w:vertAlign w:val="superscript"/>
    </w:rPr>
  </w:style>
  <w:style w:type="paragraph" w:customStyle="1" w:styleId="Default">
    <w:name w:val="Default"/>
    <w:rsid w:val="004338F6"/>
    <w:pPr>
      <w:autoSpaceDE w:val="0"/>
      <w:autoSpaceDN w:val="0"/>
      <w:adjustRightInd w:val="0"/>
      <w:spacing w:after="0" w:line="240" w:lineRule="auto"/>
    </w:pPr>
    <w:rPr>
      <w:rFonts w:ascii="Arial" w:hAnsi="Arial" w:cs="Arial"/>
      <w:color w:val="000000"/>
      <w:sz w:val="24"/>
      <w:szCs w:val="24"/>
    </w:rPr>
  </w:style>
  <w:style w:type="table" w:styleId="GridTable4-Accent2">
    <w:name w:val="Grid Table 4 Accent 2"/>
    <w:basedOn w:val="TableNormal"/>
    <w:uiPriority w:val="49"/>
    <w:rsid w:val="00CA3282"/>
    <w:pPr>
      <w:spacing w:after="0" w:line="240" w:lineRule="auto"/>
    </w:pPr>
    <w:tblPr>
      <w:tblStyleRowBandSize w:val="1"/>
      <w:tblStyleColBandSize w:val="1"/>
      <w:tblBorders>
        <w:top w:val="single" w:sz="4" w:space="0" w:color="74CBE2" w:themeColor="accent2" w:themeTint="99"/>
        <w:left w:val="single" w:sz="4" w:space="0" w:color="74CBE2" w:themeColor="accent2" w:themeTint="99"/>
        <w:bottom w:val="single" w:sz="4" w:space="0" w:color="74CBE2" w:themeColor="accent2" w:themeTint="99"/>
        <w:right w:val="single" w:sz="4" w:space="0" w:color="74CBE2" w:themeColor="accent2" w:themeTint="99"/>
        <w:insideH w:val="single" w:sz="4" w:space="0" w:color="74CBE2" w:themeColor="accent2" w:themeTint="99"/>
        <w:insideV w:val="single" w:sz="4" w:space="0" w:color="74CBE2" w:themeColor="accent2" w:themeTint="99"/>
      </w:tblBorders>
    </w:tblPr>
    <w:tblStylePr w:type="firstRow">
      <w:rPr>
        <w:b/>
        <w:bCs/>
        <w:color w:val="FFFFFF" w:themeColor="background1"/>
      </w:rPr>
      <w:tblPr/>
      <w:tcPr>
        <w:tcBorders>
          <w:top w:val="single" w:sz="4" w:space="0" w:color="28A0BF" w:themeColor="accent2"/>
          <w:left w:val="single" w:sz="4" w:space="0" w:color="28A0BF" w:themeColor="accent2"/>
          <w:bottom w:val="single" w:sz="4" w:space="0" w:color="28A0BF" w:themeColor="accent2"/>
          <w:right w:val="single" w:sz="4" w:space="0" w:color="28A0BF" w:themeColor="accent2"/>
          <w:insideH w:val="nil"/>
          <w:insideV w:val="nil"/>
        </w:tcBorders>
        <w:shd w:val="clear" w:color="auto" w:fill="28A0BF" w:themeFill="accent2"/>
      </w:tcPr>
    </w:tblStylePr>
    <w:tblStylePr w:type="lastRow">
      <w:rPr>
        <w:b/>
        <w:bCs/>
      </w:rPr>
      <w:tblPr/>
      <w:tcPr>
        <w:tcBorders>
          <w:top w:val="double" w:sz="4" w:space="0" w:color="28A0BF" w:themeColor="accent2"/>
        </w:tcBorders>
      </w:tcPr>
    </w:tblStylePr>
    <w:tblStylePr w:type="firstCol">
      <w:rPr>
        <w:b/>
        <w:bCs/>
      </w:rPr>
    </w:tblStylePr>
    <w:tblStylePr w:type="lastCol">
      <w:rPr>
        <w:b/>
        <w:bCs/>
      </w:rPr>
    </w:tblStylePr>
    <w:tblStylePr w:type="band1Vert">
      <w:tblPr/>
      <w:tcPr>
        <w:shd w:val="clear" w:color="auto" w:fill="D0EDF5" w:themeFill="accent2" w:themeFillTint="33"/>
      </w:tcPr>
    </w:tblStylePr>
    <w:tblStylePr w:type="band1Horz">
      <w:tblPr/>
      <w:tcPr>
        <w:shd w:val="clear" w:color="auto" w:fill="D0EDF5" w:themeFill="accent2" w:themeFillTint="33"/>
      </w:tcPr>
    </w:tblStylePr>
  </w:style>
  <w:style w:type="table" w:styleId="GridTable4-Accent1">
    <w:name w:val="Grid Table 4 Accent 1"/>
    <w:basedOn w:val="TableNormal"/>
    <w:uiPriority w:val="49"/>
    <w:rsid w:val="00E713AD"/>
    <w:pPr>
      <w:spacing w:after="0" w:line="240" w:lineRule="auto"/>
    </w:pPr>
    <w:tblPr>
      <w:tblStyleRowBandSize w:val="1"/>
      <w:tblStyleColBandSize w:val="1"/>
      <w:tblBorders>
        <w:top w:val="single" w:sz="4" w:space="0" w:color="78E3F0" w:themeColor="accent1" w:themeTint="99"/>
        <w:left w:val="single" w:sz="4" w:space="0" w:color="78E3F0" w:themeColor="accent1" w:themeTint="99"/>
        <w:bottom w:val="single" w:sz="4" w:space="0" w:color="78E3F0" w:themeColor="accent1" w:themeTint="99"/>
        <w:right w:val="single" w:sz="4" w:space="0" w:color="78E3F0" w:themeColor="accent1" w:themeTint="99"/>
        <w:insideH w:val="single" w:sz="4" w:space="0" w:color="78E3F0" w:themeColor="accent1" w:themeTint="99"/>
        <w:insideV w:val="single" w:sz="4" w:space="0" w:color="78E3F0" w:themeColor="accent1" w:themeTint="99"/>
      </w:tblBorders>
    </w:tblPr>
    <w:tblStylePr w:type="firstRow">
      <w:rPr>
        <w:b/>
        <w:bCs/>
        <w:color w:val="FFFFFF" w:themeColor="background1"/>
      </w:rPr>
      <w:tblPr/>
      <w:tcPr>
        <w:tcBorders>
          <w:top w:val="single" w:sz="4" w:space="0" w:color="1ED2E6" w:themeColor="accent1"/>
          <w:left w:val="single" w:sz="4" w:space="0" w:color="1ED2E6" w:themeColor="accent1"/>
          <w:bottom w:val="single" w:sz="4" w:space="0" w:color="1ED2E6" w:themeColor="accent1"/>
          <w:right w:val="single" w:sz="4" w:space="0" w:color="1ED2E6" w:themeColor="accent1"/>
          <w:insideH w:val="nil"/>
          <w:insideV w:val="nil"/>
        </w:tcBorders>
        <w:shd w:val="clear" w:color="auto" w:fill="1ED2E6" w:themeFill="accent1"/>
      </w:tcPr>
    </w:tblStylePr>
    <w:tblStylePr w:type="lastRow">
      <w:rPr>
        <w:b/>
        <w:bCs/>
      </w:rPr>
      <w:tblPr/>
      <w:tcPr>
        <w:tcBorders>
          <w:top w:val="double" w:sz="4" w:space="0" w:color="1ED2E6" w:themeColor="accent1"/>
        </w:tcBorders>
      </w:tcPr>
    </w:tblStylePr>
    <w:tblStylePr w:type="firstCol">
      <w:rPr>
        <w:b/>
        <w:bCs/>
      </w:rPr>
    </w:tblStylePr>
    <w:tblStylePr w:type="lastCol">
      <w:rPr>
        <w:b/>
        <w:bCs/>
      </w:rPr>
    </w:tblStylePr>
    <w:tblStylePr w:type="band1Vert">
      <w:tblPr/>
      <w:tcPr>
        <w:shd w:val="clear" w:color="auto" w:fill="D2F5FA" w:themeFill="accent1" w:themeFillTint="33"/>
      </w:tcPr>
    </w:tblStylePr>
    <w:tblStylePr w:type="band1Horz">
      <w:tblPr/>
      <w:tcPr>
        <w:shd w:val="clear" w:color="auto" w:fill="D2F5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Dimovski\AppData\Roaming\Microsoft\Templates\CA_document%20with%20block%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4E3569320D40E083285BADE8D7555A"/>
        <w:category>
          <w:name w:val="General"/>
          <w:gallery w:val="placeholder"/>
        </w:category>
        <w:types>
          <w:type w:val="bbPlcHdr"/>
        </w:types>
        <w:behaviors>
          <w:behavior w:val="content"/>
        </w:behaviors>
        <w:guid w:val="{AE2FA7A4-A169-43C2-8D25-82D3D1CC8355}"/>
      </w:docPartPr>
      <w:docPartBody>
        <w:p w:rsidR="001F2655" w:rsidRDefault="003815CF">
          <w:pPr>
            <w:pStyle w:val="434E3569320D40E083285BADE8D7555A"/>
          </w:pPr>
          <w:r w:rsidRPr="00A041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CF"/>
    <w:rsid w:val="001F2655"/>
    <w:rsid w:val="003815CF"/>
    <w:rsid w:val="00383B7A"/>
    <w:rsid w:val="003E1363"/>
    <w:rsid w:val="00544F5C"/>
    <w:rsid w:val="0061393D"/>
    <w:rsid w:val="00A667B9"/>
    <w:rsid w:val="00F5490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4E3569320D40E083285BADE8D7555A">
    <w:name w:val="434E3569320D40E083285BADE8D75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 (primary colours)">
      <a:dk1>
        <a:srgbClr val="5A5B5E"/>
      </a:dk1>
      <a:lt1>
        <a:sysClr val="window" lastClr="FFFFFF"/>
      </a:lt1>
      <a:dk2>
        <a:srgbClr val="063246"/>
      </a:dk2>
      <a:lt2>
        <a:srgbClr val="5A5B5E"/>
      </a:lt2>
      <a:accent1>
        <a:srgbClr val="1ED2E6"/>
      </a:accent1>
      <a:accent2>
        <a:srgbClr val="28A0BF"/>
      </a:accent2>
      <a:accent3>
        <a:srgbClr val="025B7A"/>
      </a:accent3>
      <a:accent4>
        <a:srgbClr val="063246"/>
      </a:accent4>
      <a:accent5>
        <a:srgbClr val="92E9F5"/>
      </a:accent5>
      <a:accent6>
        <a:srgbClr val="BABCBF"/>
      </a:accent6>
      <a:hlink>
        <a:srgbClr val="1ED2E6"/>
      </a:hlink>
      <a:folHlink>
        <a:srgbClr val="28A0BF"/>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428D8453BCA448CC2F35DB62A4E39" ma:contentTypeVersion="18" ma:contentTypeDescription="Create a new document." ma:contentTypeScope="" ma:versionID="68feb7ea9c66d39cf9059adbbad83f3c">
  <xsd:schema xmlns:xsd="http://www.w3.org/2001/XMLSchema" xmlns:xs="http://www.w3.org/2001/XMLSchema" xmlns:p="http://schemas.microsoft.com/office/2006/metadata/properties" xmlns:ns2="829623c0-46fb-43a5-bae2-543d7ba09c02" xmlns:ns3="4481cb67-3781-40ef-adc9-f07a04a9ac7a" targetNamespace="http://schemas.microsoft.com/office/2006/metadata/properties" ma:root="true" ma:fieldsID="5d2cc191f3ea6ac9560c986c937e6c0e" ns2:_="" ns3:_="">
    <xsd:import namespace="829623c0-46fb-43a5-bae2-543d7ba09c02"/>
    <xsd:import namespace="4481cb67-3781-40ef-adc9-f07a04a9a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2:Version_x0020_test"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23c0-46fb-43a5-bae2-543d7ba09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Version_x0020_test" ma:index="13" nillable="true" ma:displayName="Version test" ma:format="Dropdown" ma:internalName="Version_x0020_test" ma:percentage="FALSE">
      <xsd:simpleType>
        <xsd:restriction base="dms:Number"/>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e66ec1-db7b-4da5-988b-4d2f64c5ff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81cb67-3781-40ef-adc9-f07a04a9ac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a0a3f89-b742-49ee-801f-019654be5cac}" ma:internalName="TaxCatchAll" ma:showField="CatchAllData" ma:web="4481cb67-3781-40ef-adc9-f07a04a9a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9623c0-46fb-43a5-bae2-543d7ba09c02">
      <Terms xmlns="http://schemas.microsoft.com/office/infopath/2007/PartnerControls"/>
    </lcf76f155ced4ddcb4097134ff3c332f>
    <TaxCatchAll xmlns="4481cb67-3781-40ef-adc9-f07a04a9ac7a" xsi:nil="true"/>
    <Version_x0020_test xmlns="829623c0-46fb-43a5-bae2-543d7ba09c02" xsi:nil="true"/>
    <_Flow_SignoffStatus xmlns="829623c0-46fb-43a5-bae2-543d7ba09c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CEF1-1C9F-46C9-831C-DFDFDDBE2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23c0-46fb-43a5-bae2-543d7ba09c02"/>
    <ds:schemaRef ds:uri="4481cb67-3781-40ef-adc9-f07a04a9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EC388-D461-4A1A-A1A9-B37EA39107F3}">
  <ds:schemaRefs>
    <ds:schemaRef ds:uri="http://schemas.microsoft.com/sharepoint/v3/contenttype/forms"/>
  </ds:schemaRefs>
</ds:datastoreItem>
</file>

<file path=customXml/itemProps3.xml><?xml version="1.0" encoding="utf-8"?>
<ds:datastoreItem xmlns:ds="http://schemas.openxmlformats.org/officeDocument/2006/customXml" ds:itemID="{789A1552-D2CE-4209-A20D-1185E92D9450}">
  <ds:schemaRefs>
    <ds:schemaRef ds:uri="http://schemas.microsoft.com/office/2006/metadata/properties"/>
    <ds:schemaRef ds:uri="http://schemas.microsoft.com/office/infopath/2007/PartnerControls"/>
    <ds:schemaRef ds:uri="829623c0-46fb-43a5-bae2-543d7ba09c02"/>
    <ds:schemaRef ds:uri="4481cb67-3781-40ef-adc9-f07a04a9ac7a"/>
  </ds:schemaRefs>
</ds:datastoreItem>
</file>

<file path=customXml/itemProps4.xml><?xml version="1.0" encoding="utf-8"?>
<ds:datastoreItem xmlns:ds="http://schemas.openxmlformats.org/officeDocument/2006/customXml" ds:itemID="{ED9F729D-E269-447F-B52F-4E21B4A6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CA_document with block header</Template>
  <TotalTime>1</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2022 FEDERAL BUDGET SUMMARY</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FEDERAL BUDGET SUMMARY</dc:title>
  <dc:subject/>
  <dc:creator>Kathy Toskovski</dc:creator>
  <cp:keywords/>
  <dc:description/>
  <cp:lastModifiedBy>Lea Dimovski</cp:lastModifiedBy>
  <cp:revision>4</cp:revision>
  <dcterms:created xsi:type="dcterms:W3CDTF">2022-03-30T02:28:00Z</dcterms:created>
  <dcterms:modified xsi:type="dcterms:W3CDTF">2022-03-30T02:33:00Z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0x0101000BF428D8453BCA448CC2F35DB62A4E39</vt:lpwstr>
  </property>
  <property fmtid="{D5CDD505-2E9C-101B-9397-08002B2CF9AE}" pid="3" name="MediaServiceImageTags">
    <vt:lpwstr/>
  </property>
</Properties>
</file>