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6461553"/>
    <w:p w14:paraId="656AC489" w14:textId="1B72D580" w:rsidR="00046BAB" w:rsidRPr="00681AAC" w:rsidRDefault="00000000" w:rsidP="008D01C7">
      <w:pPr>
        <w:pStyle w:val="Title"/>
        <w:rPr>
          <w:sz w:val="44"/>
          <w:szCs w:val="44"/>
        </w:rPr>
      </w:pPr>
      <w:sdt>
        <w:sdtPr>
          <w:rPr>
            <w:sz w:val="44"/>
            <w:szCs w:val="44"/>
          </w:rPr>
          <w:alias w:val="Title"/>
          <w:tag w:val=""/>
          <w:id w:val="368346053"/>
          <w:placeholder>
            <w:docPart w:val="E382D2322BAE473A90D14BA4395B3848"/>
          </w:placeholder>
          <w:dataBinding w:prefixMappings="xmlns:ns0='http://purl.org/dc/elements/1.1/' xmlns:ns1='http://schemas.openxmlformats.org/package/2006/metadata/core-properties' " w:xpath="/ns1:coreProperties[1]/ns0:title[1]" w:storeItemID="{6C3C8BC8-F283-45AE-878A-BAB7291924A1}"/>
          <w:text/>
        </w:sdtPr>
        <w:sdtContent>
          <w:r w:rsidR="00E3784F">
            <w:rPr>
              <w:sz w:val="44"/>
              <w:szCs w:val="44"/>
            </w:rPr>
            <w:t>Breach Reporting Procedures</w:t>
          </w:r>
        </w:sdtContent>
      </w:sdt>
    </w:p>
    <w:p w14:paraId="4C02B84D" w14:textId="2397F8FD" w:rsidR="00046BAB" w:rsidRDefault="00DC0723" w:rsidP="00046BAB">
      <w:pPr>
        <w:pStyle w:val="Subtitle"/>
      </w:pPr>
      <w:r>
        <w:rPr>
          <w:noProof/>
        </w:rPr>
        <w:drawing>
          <wp:anchor distT="0" distB="0" distL="114300" distR="114300" simplePos="0" relativeHeight="251658240" behindDoc="1" locked="1" layoutInCell="1" allowOverlap="1" wp14:anchorId="1837C161" wp14:editId="1A30D490">
            <wp:simplePos x="0" y="0"/>
            <wp:positionH relativeFrom="page">
              <wp:align>left</wp:align>
            </wp:positionH>
            <wp:positionV relativeFrom="page">
              <wp:align>top</wp:align>
            </wp:positionV>
            <wp:extent cx="7560000" cy="16596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0000" cy="1659600"/>
                    </a:xfrm>
                    <a:prstGeom prst="rect">
                      <a:avLst/>
                    </a:prstGeom>
                  </pic:spPr>
                </pic:pic>
              </a:graphicData>
            </a:graphic>
            <wp14:sizeRelH relativeFrom="page">
              <wp14:pctWidth>0</wp14:pctWidth>
            </wp14:sizeRelH>
            <wp14:sizeRelV relativeFrom="page">
              <wp14:pctHeight>0</wp14:pctHeight>
            </wp14:sizeRelV>
          </wp:anchor>
        </w:drawing>
      </w:r>
      <w:sdt>
        <w:sdtPr>
          <w:alias w:val="Subject"/>
          <w:tag w:val=""/>
          <w:id w:val="1509014828"/>
          <w:placeholder>
            <w:docPart w:val="4BC98D8F8C444395AD54576A334CE9ED"/>
          </w:placeholder>
          <w:dataBinding w:prefixMappings="xmlns:ns0='http://purl.org/dc/elements/1.1/' xmlns:ns1='http://schemas.openxmlformats.org/package/2006/metadata/core-properties' " w:xpath="/ns1:coreProperties[1]/ns0:subject[1]" w:storeItemID="{6C3C8BC8-F283-45AE-878A-BAB7291924A1}"/>
          <w:text/>
        </w:sdtPr>
        <w:sdtContent>
          <w:r w:rsidR="00046BAB" w:rsidRPr="00046BAB">
            <w:t>[Licensee | AFSL number]</w:t>
          </w:r>
        </w:sdtContent>
      </w:sdt>
    </w:p>
    <w:p w14:paraId="531E6DDA" w14:textId="183C39D2" w:rsidR="00605AC3" w:rsidRDefault="00000000" w:rsidP="009D2684">
      <w:pPr>
        <w:pStyle w:val="Coverversionnumber"/>
      </w:pPr>
      <w:sdt>
        <w:sdtPr>
          <w:alias w:val="Status"/>
          <w:tag w:val=""/>
          <w:id w:val="453138324"/>
          <w:placeholder>
            <w:docPart w:val="C99CCECF727443648887015DCAA664B5"/>
          </w:placeholder>
          <w:dataBinding w:prefixMappings="xmlns:ns0='http://purl.org/dc/elements/1.1/' xmlns:ns1='http://schemas.openxmlformats.org/package/2006/metadata/core-properties' " w:xpath="/ns1:coreProperties[1]/ns1:contentStatus[1]" w:storeItemID="{6C3C8BC8-F283-45AE-878A-BAB7291924A1}"/>
          <w:text/>
        </w:sdtPr>
        <w:sdtContent>
          <w:r w:rsidR="00455085">
            <w:t>Version 1.</w:t>
          </w:r>
          <w:r w:rsidR="00917A3D">
            <w:t>0</w:t>
          </w:r>
        </w:sdtContent>
      </w:sdt>
      <w:bookmarkEnd w:id="0"/>
    </w:p>
    <w:bookmarkStart w:id="1" w:name="_Toc197090144"/>
    <w:bookmarkStart w:id="2" w:name="_Toc197698550"/>
    <w:bookmarkStart w:id="3" w:name="_Toc48309068"/>
    <w:p w14:paraId="00571AF8" w14:textId="39023B82" w:rsidR="00BA6F6C" w:rsidRDefault="008328F3">
      <w:pPr>
        <w:pStyle w:val="TOC1"/>
        <w:rPr>
          <w:rFonts w:eastAsiaTheme="minorEastAsia"/>
          <w:b w:val="0"/>
          <w:noProof/>
          <w:color w:val="auto"/>
          <w:kern w:val="2"/>
          <w:sz w:val="24"/>
          <w:szCs w:val="24"/>
          <w:lang w:val="en-AU" w:eastAsia="en-AU"/>
          <w14:ligatures w14:val="standardContextual"/>
        </w:rPr>
      </w:pPr>
      <w:r>
        <w:rPr>
          <w:rFonts w:cstheme="minorHAnsi"/>
          <w:szCs w:val="24"/>
        </w:rPr>
        <w:fldChar w:fldCharType="begin"/>
      </w:r>
      <w:r>
        <w:rPr>
          <w:rFonts w:cstheme="minorHAnsi"/>
          <w:szCs w:val="24"/>
        </w:rPr>
        <w:instrText xml:space="preserve"> TOC \o "1-2" \h \z \u </w:instrText>
      </w:r>
      <w:r>
        <w:rPr>
          <w:rFonts w:cstheme="minorHAnsi"/>
          <w:szCs w:val="24"/>
        </w:rPr>
        <w:fldChar w:fldCharType="separate"/>
      </w:r>
      <w:hyperlink w:anchor="_Toc211349890" w:history="1">
        <w:r w:rsidR="00BA6F6C" w:rsidRPr="003D6189">
          <w:rPr>
            <w:rStyle w:val="Hyperlink"/>
            <w:noProof/>
          </w:rPr>
          <w:t>1.</w:t>
        </w:r>
        <w:r w:rsidR="00BA6F6C">
          <w:rPr>
            <w:rFonts w:eastAsiaTheme="minorEastAsia"/>
            <w:b w:val="0"/>
            <w:noProof/>
            <w:color w:val="auto"/>
            <w:kern w:val="2"/>
            <w:sz w:val="24"/>
            <w:szCs w:val="24"/>
            <w:lang w:val="en-AU" w:eastAsia="en-AU"/>
            <w14:ligatures w14:val="standardContextual"/>
          </w:rPr>
          <w:tab/>
        </w:r>
        <w:r w:rsidR="00BA6F6C" w:rsidRPr="003D6189">
          <w:rPr>
            <w:rStyle w:val="Hyperlink"/>
            <w:noProof/>
          </w:rPr>
          <w:t>Reportable Situations</w:t>
        </w:r>
        <w:r w:rsidR="00BA6F6C">
          <w:rPr>
            <w:noProof/>
            <w:webHidden/>
          </w:rPr>
          <w:tab/>
        </w:r>
        <w:r w:rsidR="00BA6F6C">
          <w:rPr>
            <w:noProof/>
            <w:webHidden/>
          </w:rPr>
          <w:fldChar w:fldCharType="begin"/>
        </w:r>
        <w:r w:rsidR="00BA6F6C">
          <w:rPr>
            <w:noProof/>
            <w:webHidden/>
          </w:rPr>
          <w:instrText xml:space="preserve"> PAGEREF _Toc211349890 \h </w:instrText>
        </w:r>
        <w:r w:rsidR="00BA6F6C">
          <w:rPr>
            <w:noProof/>
            <w:webHidden/>
          </w:rPr>
        </w:r>
        <w:r w:rsidR="00BA6F6C">
          <w:rPr>
            <w:noProof/>
            <w:webHidden/>
          </w:rPr>
          <w:fldChar w:fldCharType="separate"/>
        </w:r>
        <w:r w:rsidR="00BA6F6C">
          <w:rPr>
            <w:noProof/>
            <w:webHidden/>
          </w:rPr>
          <w:t>2</w:t>
        </w:r>
        <w:r w:rsidR="00BA6F6C">
          <w:rPr>
            <w:noProof/>
            <w:webHidden/>
          </w:rPr>
          <w:fldChar w:fldCharType="end"/>
        </w:r>
      </w:hyperlink>
    </w:p>
    <w:p w14:paraId="28B25F62" w14:textId="2C8296F7" w:rsidR="00BA6F6C" w:rsidRDefault="00BA6F6C">
      <w:pPr>
        <w:pStyle w:val="TOC2"/>
        <w:rPr>
          <w:rFonts w:eastAsiaTheme="minorEastAsia"/>
          <w:noProof/>
          <w:kern w:val="2"/>
          <w:sz w:val="24"/>
          <w:szCs w:val="24"/>
          <w:lang w:val="en-AU" w:eastAsia="en-AU"/>
          <w14:ligatures w14:val="standardContextual"/>
        </w:rPr>
      </w:pPr>
      <w:hyperlink w:anchor="_Toc211349895" w:history="1">
        <w:r w:rsidRPr="003D6189">
          <w:rPr>
            <w:rStyle w:val="Hyperlink"/>
            <w:rFonts w:cstheme="minorHAnsi"/>
            <w:noProof/>
          </w:rPr>
          <w:t>1.1</w:t>
        </w:r>
        <w:r>
          <w:rPr>
            <w:rFonts w:eastAsiaTheme="minorEastAsia"/>
            <w:noProof/>
            <w:kern w:val="2"/>
            <w:sz w:val="24"/>
            <w:szCs w:val="24"/>
            <w:lang w:val="en-AU" w:eastAsia="en-AU"/>
            <w14:ligatures w14:val="standardContextual"/>
          </w:rPr>
          <w:tab/>
        </w:r>
        <w:r w:rsidRPr="003D6189">
          <w:rPr>
            <w:rStyle w:val="Hyperlink"/>
            <w:rFonts w:cstheme="minorHAnsi"/>
            <w:noProof/>
          </w:rPr>
          <w:t>Definitions</w:t>
        </w:r>
        <w:r>
          <w:rPr>
            <w:noProof/>
            <w:webHidden/>
          </w:rPr>
          <w:tab/>
        </w:r>
        <w:r>
          <w:rPr>
            <w:noProof/>
            <w:webHidden/>
          </w:rPr>
          <w:fldChar w:fldCharType="begin"/>
        </w:r>
        <w:r>
          <w:rPr>
            <w:noProof/>
            <w:webHidden/>
          </w:rPr>
          <w:instrText xml:space="preserve"> PAGEREF _Toc211349895 \h </w:instrText>
        </w:r>
        <w:r>
          <w:rPr>
            <w:noProof/>
            <w:webHidden/>
          </w:rPr>
        </w:r>
        <w:r>
          <w:rPr>
            <w:noProof/>
            <w:webHidden/>
          </w:rPr>
          <w:fldChar w:fldCharType="separate"/>
        </w:r>
        <w:r>
          <w:rPr>
            <w:noProof/>
            <w:webHidden/>
          </w:rPr>
          <w:t>2</w:t>
        </w:r>
        <w:r>
          <w:rPr>
            <w:noProof/>
            <w:webHidden/>
          </w:rPr>
          <w:fldChar w:fldCharType="end"/>
        </w:r>
      </w:hyperlink>
    </w:p>
    <w:p w14:paraId="5E01EA6C" w14:textId="27486DBD" w:rsidR="00BA6F6C" w:rsidRDefault="00BA6F6C">
      <w:pPr>
        <w:pStyle w:val="TOC2"/>
        <w:rPr>
          <w:rFonts w:eastAsiaTheme="minorEastAsia"/>
          <w:noProof/>
          <w:kern w:val="2"/>
          <w:sz w:val="24"/>
          <w:szCs w:val="24"/>
          <w:lang w:val="en-AU" w:eastAsia="en-AU"/>
          <w14:ligatures w14:val="standardContextual"/>
        </w:rPr>
      </w:pPr>
      <w:hyperlink w:anchor="_Toc211349901" w:history="1">
        <w:r w:rsidRPr="003D6189">
          <w:rPr>
            <w:rStyle w:val="Hyperlink"/>
            <w:noProof/>
          </w:rPr>
          <w:t>1.2</w:t>
        </w:r>
        <w:r>
          <w:rPr>
            <w:rFonts w:eastAsiaTheme="minorEastAsia"/>
            <w:noProof/>
            <w:kern w:val="2"/>
            <w:sz w:val="24"/>
            <w:szCs w:val="24"/>
            <w:lang w:val="en-AU" w:eastAsia="en-AU"/>
            <w14:ligatures w14:val="standardContextual"/>
          </w:rPr>
          <w:tab/>
        </w:r>
        <w:r w:rsidRPr="003D6189">
          <w:rPr>
            <w:rStyle w:val="Hyperlink"/>
            <w:noProof/>
          </w:rPr>
          <w:t>Breach management steps</w:t>
        </w:r>
        <w:r>
          <w:rPr>
            <w:noProof/>
            <w:webHidden/>
          </w:rPr>
          <w:tab/>
        </w:r>
        <w:r>
          <w:rPr>
            <w:noProof/>
            <w:webHidden/>
          </w:rPr>
          <w:fldChar w:fldCharType="begin"/>
        </w:r>
        <w:r>
          <w:rPr>
            <w:noProof/>
            <w:webHidden/>
          </w:rPr>
          <w:instrText xml:space="preserve"> PAGEREF _Toc211349901 \h </w:instrText>
        </w:r>
        <w:r>
          <w:rPr>
            <w:noProof/>
            <w:webHidden/>
          </w:rPr>
        </w:r>
        <w:r>
          <w:rPr>
            <w:noProof/>
            <w:webHidden/>
          </w:rPr>
          <w:fldChar w:fldCharType="separate"/>
        </w:r>
        <w:r>
          <w:rPr>
            <w:noProof/>
            <w:webHidden/>
          </w:rPr>
          <w:t>2</w:t>
        </w:r>
        <w:r>
          <w:rPr>
            <w:noProof/>
            <w:webHidden/>
          </w:rPr>
          <w:fldChar w:fldCharType="end"/>
        </w:r>
      </w:hyperlink>
    </w:p>
    <w:p w14:paraId="0A8B25D4" w14:textId="3F872B9F" w:rsidR="00BA6F6C" w:rsidRDefault="00BA6F6C">
      <w:pPr>
        <w:pStyle w:val="TOC2"/>
        <w:rPr>
          <w:rFonts w:eastAsiaTheme="minorEastAsia"/>
          <w:noProof/>
          <w:kern w:val="2"/>
          <w:sz w:val="24"/>
          <w:szCs w:val="24"/>
          <w:lang w:val="en-AU" w:eastAsia="en-AU"/>
          <w14:ligatures w14:val="standardContextual"/>
        </w:rPr>
      </w:pPr>
      <w:hyperlink w:anchor="_Toc211349902" w:history="1">
        <w:r w:rsidRPr="003D6189">
          <w:rPr>
            <w:rStyle w:val="Hyperlink"/>
            <w:noProof/>
          </w:rPr>
          <w:t>1.3</w:t>
        </w:r>
        <w:r>
          <w:rPr>
            <w:rFonts w:eastAsiaTheme="minorEastAsia"/>
            <w:noProof/>
            <w:kern w:val="2"/>
            <w:sz w:val="24"/>
            <w:szCs w:val="24"/>
            <w:lang w:val="en-AU" w:eastAsia="en-AU"/>
            <w14:ligatures w14:val="standardContextual"/>
          </w:rPr>
          <w:tab/>
        </w:r>
        <w:r w:rsidRPr="003D6189">
          <w:rPr>
            <w:rStyle w:val="Hyperlink"/>
            <w:noProof/>
          </w:rPr>
          <w:t>Breaches or likely breaches o</w:t>
        </w:r>
        <w:r w:rsidR="006E413E">
          <w:rPr>
            <w:rStyle w:val="Hyperlink"/>
            <w:noProof/>
          </w:rPr>
          <w:t>f</w:t>
        </w:r>
        <w:r w:rsidRPr="003D6189">
          <w:rPr>
            <w:rStyle w:val="Hyperlink"/>
            <w:noProof/>
          </w:rPr>
          <w:t xml:space="preserve"> core obligations that are significant</w:t>
        </w:r>
        <w:r>
          <w:rPr>
            <w:noProof/>
            <w:webHidden/>
          </w:rPr>
          <w:tab/>
        </w:r>
        <w:r>
          <w:rPr>
            <w:noProof/>
            <w:webHidden/>
          </w:rPr>
          <w:fldChar w:fldCharType="begin"/>
        </w:r>
        <w:r>
          <w:rPr>
            <w:noProof/>
            <w:webHidden/>
          </w:rPr>
          <w:instrText xml:space="preserve"> PAGEREF _Toc211349902 \h </w:instrText>
        </w:r>
        <w:r>
          <w:rPr>
            <w:noProof/>
            <w:webHidden/>
          </w:rPr>
        </w:r>
        <w:r>
          <w:rPr>
            <w:noProof/>
            <w:webHidden/>
          </w:rPr>
          <w:fldChar w:fldCharType="separate"/>
        </w:r>
        <w:r>
          <w:rPr>
            <w:noProof/>
            <w:webHidden/>
          </w:rPr>
          <w:t>2</w:t>
        </w:r>
        <w:r>
          <w:rPr>
            <w:noProof/>
            <w:webHidden/>
          </w:rPr>
          <w:fldChar w:fldCharType="end"/>
        </w:r>
      </w:hyperlink>
    </w:p>
    <w:p w14:paraId="1736DB68" w14:textId="67F3A4DE" w:rsidR="00BA6F6C" w:rsidRDefault="00BA6F6C">
      <w:pPr>
        <w:pStyle w:val="TOC2"/>
        <w:rPr>
          <w:rFonts w:eastAsiaTheme="minorEastAsia"/>
          <w:noProof/>
          <w:kern w:val="2"/>
          <w:sz w:val="24"/>
          <w:szCs w:val="24"/>
          <w:lang w:val="en-AU" w:eastAsia="en-AU"/>
          <w14:ligatures w14:val="standardContextual"/>
        </w:rPr>
      </w:pPr>
      <w:hyperlink w:anchor="_Toc211349903" w:history="1">
        <w:r w:rsidRPr="003D6189">
          <w:rPr>
            <w:rStyle w:val="Hyperlink"/>
            <w:noProof/>
          </w:rPr>
          <w:t>1.4</w:t>
        </w:r>
        <w:r>
          <w:rPr>
            <w:rFonts w:eastAsiaTheme="minorEastAsia"/>
            <w:noProof/>
            <w:kern w:val="2"/>
            <w:sz w:val="24"/>
            <w:szCs w:val="24"/>
            <w:lang w:val="en-AU" w:eastAsia="en-AU"/>
            <w14:ligatures w14:val="standardContextual"/>
          </w:rPr>
          <w:tab/>
        </w:r>
        <w:r w:rsidRPr="003D6189">
          <w:rPr>
            <w:rStyle w:val="Hyperlink"/>
            <w:noProof/>
          </w:rPr>
          <w:t>Core Obligations</w:t>
        </w:r>
        <w:r>
          <w:rPr>
            <w:noProof/>
            <w:webHidden/>
          </w:rPr>
          <w:tab/>
        </w:r>
        <w:r>
          <w:rPr>
            <w:noProof/>
            <w:webHidden/>
          </w:rPr>
          <w:fldChar w:fldCharType="begin"/>
        </w:r>
        <w:r>
          <w:rPr>
            <w:noProof/>
            <w:webHidden/>
          </w:rPr>
          <w:instrText xml:space="preserve"> PAGEREF _Toc211349903 \h </w:instrText>
        </w:r>
        <w:r>
          <w:rPr>
            <w:noProof/>
            <w:webHidden/>
          </w:rPr>
        </w:r>
        <w:r>
          <w:rPr>
            <w:noProof/>
            <w:webHidden/>
          </w:rPr>
          <w:fldChar w:fldCharType="separate"/>
        </w:r>
        <w:r>
          <w:rPr>
            <w:noProof/>
            <w:webHidden/>
          </w:rPr>
          <w:t>3</w:t>
        </w:r>
        <w:r>
          <w:rPr>
            <w:noProof/>
            <w:webHidden/>
          </w:rPr>
          <w:fldChar w:fldCharType="end"/>
        </w:r>
      </w:hyperlink>
    </w:p>
    <w:p w14:paraId="2E8BF0C3" w14:textId="3165EC89" w:rsidR="00BA6F6C" w:rsidRDefault="00BA6F6C">
      <w:pPr>
        <w:pStyle w:val="TOC2"/>
        <w:rPr>
          <w:rFonts w:eastAsiaTheme="minorEastAsia"/>
          <w:noProof/>
          <w:kern w:val="2"/>
          <w:sz w:val="24"/>
          <w:szCs w:val="24"/>
          <w:lang w:val="en-AU" w:eastAsia="en-AU"/>
          <w14:ligatures w14:val="standardContextual"/>
        </w:rPr>
      </w:pPr>
      <w:hyperlink w:anchor="_Toc211349904" w:history="1">
        <w:r w:rsidRPr="003D6189">
          <w:rPr>
            <w:rStyle w:val="Hyperlink"/>
            <w:noProof/>
          </w:rPr>
          <w:t>1.5</w:t>
        </w:r>
        <w:r>
          <w:rPr>
            <w:rFonts w:eastAsiaTheme="minorEastAsia"/>
            <w:noProof/>
            <w:kern w:val="2"/>
            <w:sz w:val="24"/>
            <w:szCs w:val="24"/>
            <w:lang w:val="en-AU" w:eastAsia="en-AU"/>
            <w14:ligatures w14:val="standardContextual"/>
          </w:rPr>
          <w:tab/>
        </w:r>
        <w:r w:rsidRPr="003D6189">
          <w:rPr>
            <w:rStyle w:val="Hyperlink"/>
            <w:noProof/>
          </w:rPr>
          <w:t>Material loss</w:t>
        </w:r>
        <w:r>
          <w:rPr>
            <w:noProof/>
            <w:webHidden/>
          </w:rPr>
          <w:tab/>
        </w:r>
        <w:r>
          <w:rPr>
            <w:noProof/>
            <w:webHidden/>
          </w:rPr>
          <w:fldChar w:fldCharType="begin"/>
        </w:r>
        <w:r>
          <w:rPr>
            <w:noProof/>
            <w:webHidden/>
          </w:rPr>
          <w:instrText xml:space="preserve"> PAGEREF _Toc211349904 \h </w:instrText>
        </w:r>
        <w:r>
          <w:rPr>
            <w:noProof/>
            <w:webHidden/>
          </w:rPr>
        </w:r>
        <w:r>
          <w:rPr>
            <w:noProof/>
            <w:webHidden/>
          </w:rPr>
          <w:fldChar w:fldCharType="separate"/>
        </w:r>
        <w:r>
          <w:rPr>
            <w:noProof/>
            <w:webHidden/>
          </w:rPr>
          <w:t>3</w:t>
        </w:r>
        <w:r>
          <w:rPr>
            <w:noProof/>
            <w:webHidden/>
          </w:rPr>
          <w:fldChar w:fldCharType="end"/>
        </w:r>
      </w:hyperlink>
    </w:p>
    <w:p w14:paraId="49A0235C" w14:textId="04E472C1" w:rsidR="00BA6F6C" w:rsidRDefault="00BA6F6C">
      <w:pPr>
        <w:pStyle w:val="TOC2"/>
        <w:rPr>
          <w:rFonts w:eastAsiaTheme="minorEastAsia"/>
          <w:noProof/>
          <w:kern w:val="2"/>
          <w:sz w:val="24"/>
          <w:szCs w:val="24"/>
          <w:lang w:val="en-AU" w:eastAsia="en-AU"/>
          <w14:ligatures w14:val="standardContextual"/>
        </w:rPr>
      </w:pPr>
      <w:hyperlink w:anchor="_Toc211349905" w:history="1">
        <w:r w:rsidRPr="003D6189">
          <w:rPr>
            <w:rStyle w:val="Hyperlink"/>
            <w:noProof/>
          </w:rPr>
          <w:t>1.6</w:t>
        </w:r>
        <w:r>
          <w:rPr>
            <w:rFonts w:eastAsiaTheme="minorEastAsia"/>
            <w:noProof/>
            <w:kern w:val="2"/>
            <w:sz w:val="24"/>
            <w:szCs w:val="24"/>
            <w:lang w:val="en-AU" w:eastAsia="en-AU"/>
            <w14:ligatures w14:val="standardContextual"/>
          </w:rPr>
          <w:tab/>
        </w:r>
        <w:r w:rsidRPr="003D6189">
          <w:rPr>
            <w:rStyle w:val="Hyperlink"/>
            <w:noProof/>
          </w:rPr>
          <w:t>Investigations</w:t>
        </w:r>
        <w:r>
          <w:rPr>
            <w:noProof/>
            <w:webHidden/>
          </w:rPr>
          <w:tab/>
        </w:r>
        <w:r>
          <w:rPr>
            <w:noProof/>
            <w:webHidden/>
          </w:rPr>
          <w:fldChar w:fldCharType="begin"/>
        </w:r>
        <w:r>
          <w:rPr>
            <w:noProof/>
            <w:webHidden/>
          </w:rPr>
          <w:instrText xml:space="preserve"> PAGEREF _Toc211349905 \h </w:instrText>
        </w:r>
        <w:r>
          <w:rPr>
            <w:noProof/>
            <w:webHidden/>
          </w:rPr>
        </w:r>
        <w:r>
          <w:rPr>
            <w:noProof/>
            <w:webHidden/>
          </w:rPr>
          <w:fldChar w:fldCharType="separate"/>
        </w:r>
        <w:r>
          <w:rPr>
            <w:noProof/>
            <w:webHidden/>
          </w:rPr>
          <w:t>4</w:t>
        </w:r>
        <w:r>
          <w:rPr>
            <w:noProof/>
            <w:webHidden/>
          </w:rPr>
          <w:fldChar w:fldCharType="end"/>
        </w:r>
      </w:hyperlink>
    </w:p>
    <w:p w14:paraId="1F7954F1" w14:textId="36DEFAF2" w:rsidR="00BA6F6C" w:rsidRDefault="00BA6F6C">
      <w:pPr>
        <w:pStyle w:val="TOC2"/>
        <w:rPr>
          <w:rFonts w:eastAsiaTheme="minorEastAsia"/>
          <w:noProof/>
          <w:kern w:val="2"/>
          <w:sz w:val="24"/>
          <w:szCs w:val="24"/>
          <w:lang w:val="en-AU" w:eastAsia="en-AU"/>
          <w14:ligatures w14:val="standardContextual"/>
        </w:rPr>
      </w:pPr>
      <w:hyperlink w:anchor="_Toc211349906" w:history="1">
        <w:r w:rsidRPr="003D6189">
          <w:rPr>
            <w:rStyle w:val="Hyperlink"/>
            <w:noProof/>
          </w:rPr>
          <w:t>1.7</w:t>
        </w:r>
        <w:r>
          <w:rPr>
            <w:rFonts w:eastAsiaTheme="minorEastAsia"/>
            <w:noProof/>
            <w:kern w:val="2"/>
            <w:sz w:val="24"/>
            <w:szCs w:val="24"/>
            <w:lang w:val="en-AU" w:eastAsia="en-AU"/>
            <w14:ligatures w14:val="standardContextual"/>
          </w:rPr>
          <w:tab/>
        </w:r>
        <w:r w:rsidRPr="003D6189">
          <w:rPr>
            <w:rStyle w:val="Hyperlink"/>
            <w:noProof/>
          </w:rPr>
          <w:t>Gross negligence or serious fraud</w:t>
        </w:r>
        <w:r>
          <w:rPr>
            <w:noProof/>
            <w:webHidden/>
          </w:rPr>
          <w:tab/>
        </w:r>
        <w:r>
          <w:rPr>
            <w:noProof/>
            <w:webHidden/>
          </w:rPr>
          <w:fldChar w:fldCharType="begin"/>
        </w:r>
        <w:r>
          <w:rPr>
            <w:noProof/>
            <w:webHidden/>
          </w:rPr>
          <w:instrText xml:space="preserve"> PAGEREF _Toc211349906 \h </w:instrText>
        </w:r>
        <w:r>
          <w:rPr>
            <w:noProof/>
            <w:webHidden/>
          </w:rPr>
        </w:r>
        <w:r>
          <w:rPr>
            <w:noProof/>
            <w:webHidden/>
          </w:rPr>
          <w:fldChar w:fldCharType="separate"/>
        </w:r>
        <w:r>
          <w:rPr>
            <w:noProof/>
            <w:webHidden/>
          </w:rPr>
          <w:t>4</w:t>
        </w:r>
        <w:r>
          <w:rPr>
            <w:noProof/>
            <w:webHidden/>
          </w:rPr>
          <w:fldChar w:fldCharType="end"/>
        </w:r>
      </w:hyperlink>
    </w:p>
    <w:p w14:paraId="0CBC7733" w14:textId="0160A05D" w:rsidR="00BA6F6C" w:rsidRDefault="00BA6F6C">
      <w:pPr>
        <w:pStyle w:val="TOC2"/>
        <w:rPr>
          <w:rFonts w:eastAsiaTheme="minorEastAsia"/>
          <w:noProof/>
          <w:kern w:val="2"/>
          <w:sz w:val="24"/>
          <w:szCs w:val="24"/>
          <w:lang w:val="en-AU" w:eastAsia="en-AU"/>
          <w14:ligatures w14:val="standardContextual"/>
        </w:rPr>
      </w:pPr>
      <w:hyperlink w:anchor="_Toc211349980" w:history="1">
        <w:r w:rsidRPr="003D6189">
          <w:rPr>
            <w:rStyle w:val="Hyperlink"/>
            <w:noProof/>
          </w:rPr>
          <w:t>1.8</w:t>
        </w:r>
        <w:r>
          <w:rPr>
            <w:rFonts w:eastAsiaTheme="minorEastAsia"/>
            <w:noProof/>
            <w:kern w:val="2"/>
            <w:sz w:val="24"/>
            <w:szCs w:val="24"/>
            <w:lang w:val="en-AU" w:eastAsia="en-AU"/>
            <w14:ligatures w14:val="standardContextual"/>
          </w:rPr>
          <w:tab/>
        </w:r>
        <w:r w:rsidRPr="003D6189">
          <w:rPr>
            <w:rStyle w:val="Hyperlink"/>
            <w:noProof/>
          </w:rPr>
          <w:t>Breaches that are exempt from reporting</w:t>
        </w:r>
        <w:r>
          <w:rPr>
            <w:noProof/>
            <w:webHidden/>
          </w:rPr>
          <w:tab/>
        </w:r>
        <w:r>
          <w:rPr>
            <w:noProof/>
            <w:webHidden/>
          </w:rPr>
          <w:fldChar w:fldCharType="begin"/>
        </w:r>
        <w:r>
          <w:rPr>
            <w:noProof/>
            <w:webHidden/>
          </w:rPr>
          <w:instrText xml:space="preserve"> PAGEREF _Toc211349980 \h </w:instrText>
        </w:r>
        <w:r>
          <w:rPr>
            <w:noProof/>
            <w:webHidden/>
          </w:rPr>
        </w:r>
        <w:r>
          <w:rPr>
            <w:noProof/>
            <w:webHidden/>
          </w:rPr>
          <w:fldChar w:fldCharType="separate"/>
        </w:r>
        <w:r>
          <w:rPr>
            <w:noProof/>
            <w:webHidden/>
          </w:rPr>
          <w:t>4</w:t>
        </w:r>
        <w:r>
          <w:rPr>
            <w:noProof/>
            <w:webHidden/>
          </w:rPr>
          <w:fldChar w:fldCharType="end"/>
        </w:r>
      </w:hyperlink>
    </w:p>
    <w:p w14:paraId="3535843E" w14:textId="34F07C20" w:rsidR="00BA6F6C" w:rsidRDefault="00BA6F6C">
      <w:pPr>
        <w:pStyle w:val="TOC1"/>
        <w:rPr>
          <w:rFonts w:eastAsiaTheme="minorEastAsia"/>
          <w:b w:val="0"/>
          <w:noProof/>
          <w:color w:val="auto"/>
          <w:kern w:val="2"/>
          <w:sz w:val="24"/>
          <w:szCs w:val="24"/>
          <w:lang w:val="en-AU" w:eastAsia="en-AU"/>
          <w14:ligatures w14:val="standardContextual"/>
        </w:rPr>
      </w:pPr>
      <w:hyperlink w:anchor="_Toc211350024" w:history="1">
        <w:r w:rsidRPr="003D6189">
          <w:rPr>
            <w:rStyle w:val="Hyperlink"/>
            <w:noProof/>
          </w:rPr>
          <w:t>2.</w:t>
        </w:r>
        <w:r>
          <w:rPr>
            <w:rFonts w:eastAsiaTheme="minorEastAsia"/>
            <w:b w:val="0"/>
            <w:noProof/>
            <w:color w:val="auto"/>
            <w:kern w:val="2"/>
            <w:sz w:val="24"/>
            <w:szCs w:val="24"/>
            <w:lang w:val="en-AU" w:eastAsia="en-AU"/>
            <w14:ligatures w14:val="standardContextual"/>
          </w:rPr>
          <w:tab/>
        </w:r>
        <w:r w:rsidRPr="003D6189">
          <w:rPr>
            <w:rStyle w:val="Hyperlink"/>
            <w:noProof/>
          </w:rPr>
          <w:t>Breach Register</w:t>
        </w:r>
        <w:r>
          <w:rPr>
            <w:noProof/>
            <w:webHidden/>
          </w:rPr>
          <w:tab/>
        </w:r>
        <w:r>
          <w:rPr>
            <w:noProof/>
            <w:webHidden/>
          </w:rPr>
          <w:fldChar w:fldCharType="begin"/>
        </w:r>
        <w:r>
          <w:rPr>
            <w:noProof/>
            <w:webHidden/>
          </w:rPr>
          <w:instrText xml:space="preserve"> PAGEREF _Toc211350024 \h </w:instrText>
        </w:r>
        <w:r>
          <w:rPr>
            <w:noProof/>
            <w:webHidden/>
          </w:rPr>
        </w:r>
        <w:r>
          <w:rPr>
            <w:noProof/>
            <w:webHidden/>
          </w:rPr>
          <w:fldChar w:fldCharType="separate"/>
        </w:r>
        <w:r>
          <w:rPr>
            <w:noProof/>
            <w:webHidden/>
          </w:rPr>
          <w:t>6</w:t>
        </w:r>
        <w:r>
          <w:rPr>
            <w:noProof/>
            <w:webHidden/>
          </w:rPr>
          <w:fldChar w:fldCharType="end"/>
        </w:r>
      </w:hyperlink>
    </w:p>
    <w:p w14:paraId="611F1883" w14:textId="2B3B63C1" w:rsidR="00BA6F6C" w:rsidRDefault="00BA6F6C">
      <w:pPr>
        <w:pStyle w:val="TOC2"/>
        <w:rPr>
          <w:rFonts w:eastAsiaTheme="minorEastAsia"/>
          <w:noProof/>
          <w:kern w:val="2"/>
          <w:sz w:val="24"/>
          <w:szCs w:val="24"/>
          <w:lang w:val="en-AU" w:eastAsia="en-AU"/>
          <w14:ligatures w14:val="standardContextual"/>
        </w:rPr>
      </w:pPr>
      <w:hyperlink w:anchor="_Toc211350026" w:history="1">
        <w:r w:rsidRPr="003D6189">
          <w:rPr>
            <w:rStyle w:val="Hyperlink"/>
            <w:rFonts w:cstheme="minorHAnsi"/>
            <w:noProof/>
          </w:rPr>
          <w:t>2.1</w:t>
        </w:r>
        <w:r>
          <w:rPr>
            <w:rFonts w:eastAsiaTheme="minorEastAsia"/>
            <w:noProof/>
            <w:kern w:val="2"/>
            <w:sz w:val="24"/>
            <w:szCs w:val="24"/>
            <w:lang w:val="en-AU" w:eastAsia="en-AU"/>
            <w14:ligatures w14:val="standardContextual"/>
          </w:rPr>
          <w:tab/>
        </w:r>
        <w:r w:rsidRPr="003D6189">
          <w:rPr>
            <w:rStyle w:val="Hyperlink"/>
            <w:rFonts w:cstheme="minorHAnsi"/>
            <w:noProof/>
          </w:rPr>
          <w:t>Completing the Breach Register</w:t>
        </w:r>
        <w:r>
          <w:rPr>
            <w:noProof/>
            <w:webHidden/>
          </w:rPr>
          <w:tab/>
        </w:r>
        <w:r>
          <w:rPr>
            <w:noProof/>
            <w:webHidden/>
          </w:rPr>
          <w:fldChar w:fldCharType="begin"/>
        </w:r>
        <w:r>
          <w:rPr>
            <w:noProof/>
            <w:webHidden/>
          </w:rPr>
          <w:instrText xml:space="preserve"> PAGEREF _Toc211350026 \h </w:instrText>
        </w:r>
        <w:r>
          <w:rPr>
            <w:noProof/>
            <w:webHidden/>
          </w:rPr>
        </w:r>
        <w:r>
          <w:rPr>
            <w:noProof/>
            <w:webHidden/>
          </w:rPr>
          <w:fldChar w:fldCharType="separate"/>
        </w:r>
        <w:r>
          <w:rPr>
            <w:noProof/>
            <w:webHidden/>
          </w:rPr>
          <w:t>6</w:t>
        </w:r>
        <w:r>
          <w:rPr>
            <w:noProof/>
            <w:webHidden/>
          </w:rPr>
          <w:fldChar w:fldCharType="end"/>
        </w:r>
      </w:hyperlink>
    </w:p>
    <w:p w14:paraId="00FC3934" w14:textId="51CCBFE6" w:rsidR="00BA6F6C" w:rsidRDefault="00BA6F6C">
      <w:pPr>
        <w:pStyle w:val="TOC2"/>
        <w:rPr>
          <w:rFonts w:eastAsiaTheme="minorEastAsia"/>
          <w:noProof/>
          <w:kern w:val="2"/>
          <w:sz w:val="24"/>
          <w:szCs w:val="24"/>
          <w:lang w:val="en-AU" w:eastAsia="en-AU"/>
          <w14:ligatures w14:val="standardContextual"/>
        </w:rPr>
      </w:pPr>
      <w:hyperlink w:anchor="_Toc211350027" w:history="1">
        <w:r w:rsidRPr="003D6189">
          <w:rPr>
            <w:rStyle w:val="Hyperlink"/>
            <w:noProof/>
          </w:rPr>
          <w:t>2.2</w:t>
        </w:r>
        <w:r>
          <w:rPr>
            <w:rFonts w:eastAsiaTheme="minorEastAsia"/>
            <w:noProof/>
            <w:kern w:val="2"/>
            <w:sz w:val="24"/>
            <w:szCs w:val="24"/>
            <w:lang w:val="en-AU" w:eastAsia="en-AU"/>
            <w14:ligatures w14:val="standardContextual"/>
          </w:rPr>
          <w:tab/>
        </w:r>
        <w:r w:rsidRPr="003D6189">
          <w:rPr>
            <w:rStyle w:val="Hyperlink"/>
            <w:noProof/>
          </w:rPr>
          <w:t>Record Keeping</w:t>
        </w:r>
        <w:r>
          <w:rPr>
            <w:noProof/>
            <w:webHidden/>
          </w:rPr>
          <w:tab/>
        </w:r>
        <w:r>
          <w:rPr>
            <w:noProof/>
            <w:webHidden/>
          </w:rPr>
          <w:fldChar w:fldCharType="begin"/>
        </w:r>
        <w:r>
          <w:rPr>
            <w:noProof/>
            <w:webHidden/>
          </w:rPr>
          <w:instrText xml:space="preserve"> PAGEREF _Toc211350027 \h </w:instrText>
        </w:r>
        <w:r>
          <w:rPr>
            <w:noProof/>
            <w:webHidden/>
          </w:rPr>
        </w:r>
        <w:r>
          <w:rPr>
            <w:noProof/>
            <w:webHidden/>
          </w:rPr>
          <w:fldChar w:fldCharType="separate"/>
        </w:r>
        <w:r>
          <w:rPr>
            <w:noProof/>
            <w:webHidden/>
          </w:rPr>
          <w:t>9</w:t>
        </w:r>
        <w:r>
          <w:rPr>
            <w:noProof/>
            <w:webHidden/>
          </w:rPr>
          <w:fldChar w:fldCharType="end"/>
        </w:r>
      </w:hyperlink>
    </w:p>
    <w:p w14:paraId="672B2AAC" w14:textId="6886F0CA" w:rsidR="00BA6F6C" w:rsidRDefault="00BA6F6C">
      <w:pPr>
        <w:pStyle w:val="TOC1"/>
        <w:rPr>
          <w:rFonts w:eastAsiaTheme="minorEastAsia"/>
          <w:b w:val="0"/>
          <w:noProof/>
          <w:color w:val="auto"/>
          <w:kern w:val="2"/>
          <w:sz w:val="24"/>
          <w:szCs w:val="24"/>
          <w:lang w:val="en-AU" w:eastAsia="en-AU"/>
          <w14:ligatures w14:val="standardContextual"/>
        </w:rPr>
      </w:pPr>
      <w:hyperlink w:anchor="_Toc211350028" w:history="1">
        <w:r w:rsidRPr="003D6189">
          <w:rPr>
            <w:rStyle w:val="Hyperlink"/>
            <w:rFonts w:cstheme="minorHAnsi"/>
            <w:noProof/>
          </w:rPr>
          <w:t>3.</w:t>
        </w:r>
        <w:r>
          <w:rPr>
            <w:rFonts w:eastAsiaTheme="minorEastAsia"/>
            <w:b w:val="0"/>
            <w:noProof/>
            <w:color w:val="auto"/>
            <w:kern w:val="2"/>
            <w:sz w:val="24"/>
            <w:szCs w:val="24"/>
            <w:lang w:val="en-AU" w:eastAsia="en-AU"/>
            <w14:ligatures w14:val="standardContextual"/>
          </w:rPr>
          <w:tab/>
        </w:r>
        <w:r w:rsidRPr="003D6189">
          <w:rPr>
            <w:rStyle w:val="Hyperlink"/>
            <w:rFonts w:cstheme="minorHAnsi"/>
            <w:noProof/>
          </w:rPr>
          <w:t>Reporting and Notifications</w:t>
        </w:r>
        <w:r>
          <w:rPr>
            <w:noProof/>
            <w:webHidden/>
          </w:rPr>
          <w:tab/>
        </w:r>
        <w:r>
          <w:rPr>
            <w:noProof/>
            <w:webHidden/>
          </w:rPr>
          <w:fldChar w:fldCharType="begin"/>
        </w:r>
        <w:r>
          <w:rPr>
            <w:noProof/>
            <w:webHidden/>
          </w:rPr>
          <w:instrText xml:space="preserve"> PAGEREF _Toc211350028 \h </w:instrText>
        </w:r>
        <w:r>
          <w:rPr>
            <w:noProof/>
            <w:webHidden/>
          </w:rPr>
        </w:r>
        <w:r>
          <w:rPr>
            <w:noProof/>
            <w:webHidden/>
          </w:rPr>
          <w:fldChar w:fldCharType="separate"/>
        </w:r>
        <w:r>
          <w:rPr>
            <w:noProof/>
            <w:webHidden/>
          </w:rPr>
          <w:t>10</w:t>
        </w:r>
        <w:r>
          <w:rPr>
            <w:noProof/>
            <w:webHidden/>
          </w:rPr>
          <w:fldChar w:fldCharType="end"/>
        </w:r>
      </w:hyperlink>
    </w:p>
    <w:p w14:paraId="7E10FDD2" w14:textId="2228879F" w:rsidR="00BA6F6C" w:rsidRDefault="00BA6F6C">
      <w:pPr>
        <w:pStyle w:val="TOC2"/>
        <w:rPr>
          <w:rFonts w:eastAsiaTheme="minorEastAsia"/>
          <w:noProof/>
          <w:kern w:val="2"/>
          <w:sz w:val="24"/>
          <w:szCs w:val="24"/>
          <w:lang w:val="en-AU" w:eastAsia="en-AU"/>
          <w14:ligatures w14:val="standardContextual"/>
        </w:rPr>
      </w:pPr>
      <w:hyperlink w:anchor="_Toc211350029" w:history="1">
        <w:r w:rsidRPr="003D6189">
          <w:rPr>
            <w:rStyle w:val="Hyperlink"/>
            <w:noProof/>
          </w:rPr>
          <w:t>3.1</w:t>
        </w:r>
        <w:r>
          <w:rPr>
            <w:rFonts w:eastAsiaTheme="minorEastAsia"/>
            <w:noProof/>
            <w:kern w:val="2"/>
            <w:sz w:val="24"/>
            <w:szCs w:val="24"/>
            <w:lang w:val="en-AU" w:eastAsia="en-AU"/>
            <w14:ligatures w14:val="standardContextual"/>
          </w:rPr>
          <w:tab/>
        </w:r>
        <w:r w:rsidRPr="003D6189">
          <w:rPr>
            <w:rStyle w:val="Hyperlink"/>
            <w:noProof/>
          </w:rPr>
          <w:t>Reasonable grounds</w:t>
        </w:r>
        <w:r>
          <w:rPr>
            <w:noProof/>
            <w:webHidden/>
          </w:rPr>
          <w:tab/>
        </w:r>
        <w:r>
          <w:rPr>
            <w:noProof/>
            <w:webHidden/>
          </w:rPr>
          <w:fldChar w:fldCharType="begin"/>
        </w:r>
        <w:r>
          <w:rPr>
            <w:noProof/>
            <w:webHidden/>
          </w:rPr>
          <w:instrText xml:space="preserve"> PAGEREF _Toc211350029 \h </w:instrText>
        </w:r>
        <w:r>
          <w:rPr>
            <w:noProof/>
            <w:webHidden/>
          </w:rPr>
        </w:r>
        <w:r>
          <w:rPr>
            <w:noProof/>
            <w:webHidden/>
          </w:rPr>
          <w:fldChar w:fldCharType="separate"/>
        </w:r>
        <w:r>
          <w:rPr>
            <w:noProof/>
            <w:webHidden/>
          </w:rPr>
          <w:t>10</w:t>
        </w:r>
        <w:r>
          <w:rPr>
            <w:noProof/>
            <w:webHidden/>
          </w:rPr>
          <w:fldChar w:fldCharType="end"/>
        </w:r>
      </w:hyperlink>
    </w:p>
    <w:p w14:paraId="6CE657D3" w14:textId="5D011BE1" w:rsidR="00BA6F6C" w:rsidRDefault="00BA6F6C">
      <w:pPr>
        <w:pStyle w:val="TOC2"/>
        <w:rPr>
          <w:rFonts w:eastAsiaTheme="minorEastAsia"/>
          <w:noProof/>
          <w:kern w:val="2"/>
          <w:sz w:val="24"/>
          <w:szCs w:val="24"/>
          <w:lang w:val="en-AU" w:eastAsia="en-AU"/>
          <w14:ligatures w14:val="standardContextual"/>
        </w:rPr>
      </w:pPr>
      <w:hyperlink w:anchor="_Toc211350030" w:history="1">
        <w:r w:rsidRPr="003D6189">
          <w:rPr>
            <w:rStyle w:val="Hyperlink"/>
            <w:noProof/>
          </w:rPr>
          <w:t>3.2</w:t>
        </w:r>
        <w:r>
          <w:rPr>
            <w:rFonts w:eastAsiaTheme="minorEastAsia"/>
            <w:noProof/>
            <w:kern w:val="2"/>
            <w:sz w:val="24"/>
            <w:szCs w:val="24"/>
            <w:lang w:val="en-AU" w:eastAsia="en-AU"/>
            <w14:ligatures w14:val="standardContextual"/>
          </w:rPr>
          <w:tab/>
        </w:r>
        <w:r w:rsidRPr="003D6189">
          <w:rPr>
            <w:rStyle w:val="Hyperlink"/>
            <w:noProof/>
          </w:rPr>
          <w:t>Timeframe for reporting to ASIC</w:t>
        </w:r>
        <w:r>
          <w:rPr>
            <w:noProof/>
            <w:webHidden/>
          </w:rPr>
          <w:tab/>
        </w:r>
        <w:r>
          <w:rPr>
            <w:noProof/>
            <w:webHidden/>
          </w:rPr>
          <w:fldChar w:fldCharType="begin"/>
        </w:r>
        <w:r>
          <w:rPr>
            <w:noProof/>
            <w:webHidden/>
          </w:rPr>
          <w:instrText xml:space="preserve"> PAGEREF _Toc211350030 \h </w:instrText>
        </w:r>
        <w:r>
          <w:rPr>
            <w:noProof/>
            <w:webHidden/>
          </w:rPr>
        </w:r>
        <w:r>
          <w:rPr>
            <w:noProof/>
            <w:webHidden/>
          </w:rPr>
          <w:fldChar w:fldCharType="separate"/>
        </w:r>
        <w:r>
          <w:rPr>
            <w:noProof/>
            <w:webHidden/>
          </w:rPr>
          <w:t>10</w:t>
        </w:r>
        <w:r>
          <w:rPr>
            <w:noProof/>
            <w:webHidden/>
          </w:rPr>
          <w:fldChar w:fldCharType="end"/>
        </w:r>
      </w:hyperlink>
    </w:p>
    <w:p w14:paraId="5BC42147" w14:textId="6118D729" w:rsidR="00BA6F6C" w:rsidRDefault="00BA6F6C">
      <w:pPr>
        <w:pStyle w:val="TOC2"/>
        <w:rPr>
          <w:rFonts w:eastAsiaTheme="minorEastAsia"/>
          <w:noProof/>
          <w:kern w:val="2"/>
          <w:sz w:val="24"/>
          <w:szCs w:val="24"/>
          <w:lang w:val="en-AU" w:eastAsia="en-AU"/>
          <w14:ligatures w14:val="standardContextual"/>
        </w:rPr>
      </w:pPr>
      <w:hyperlink w:anchor="_Toc211350031" w:history="1">
        <w:r w:rsidRPr="003D6189">
          <w:rPr>
            <w:rStyle w:val="Hyperlink"/>
            <w:rFonts w:cstheme="minorHAnsi"/>
            <w:noProof/>
          </w:rPr>
          <w:t>3.3</w:t>
        </w:r>
        <w:r>
          <w:rPr>
            <w:rFonts w:eastAsiaTheme="minorEastAsia"/>
            <w:noProof/>
            <w:kern w:val="2"/>
            <w:sz w:val="24"/>
            <w:szCs w:val="24"/>
            <w:lang w:val="en-AU" w:eastAsia="en-AU"/>
            <w14:ligatures w14:val="standardContextual"/>
          </w:rPr>
          <w:tab/>
        </w:r>
        <w:r w:rsidRPr="003D6189">
          <w:rPr>
            <w:rStyle w:val="Hyperlink"/>
            <w:noProof/>
          </w:rPr>
          <w:t>Notifying clients who have suffered a loss</w:t>
        </w:r>
        <w:r>
          <w:rPr>
            <w:noProof/>
            <w:webHidden/>
          </w:rPr>
          <w:tab/>
        </w:r>
        <w:r>
          <w:rPr>
            <w:noProof/>
            <w:webHidden/>
          </w:rPr>
          <w:fldChar w:fldCharType="begin"/>
        </w:r>
        <w:r>
          <w:rPr>
            <w:noProof/>
            <w:webHidden/>
          </w:rPr>
          <w:instrText xml:space="preserve"> PAGEREF _Toc211350031 \h </w:instrText>
        </w:r>
        <w:r>
          <w:rPr>
            <w:noProof/>
            <w:webHidden/>
          </w:rPr>
        </w:r>
        <w:r>
          <w:rPr>
            <w:noProof/>
            <w:webHidden/>
          </w:rPr>
          <w:fldChar w:fldCharType="separate"/>
        </w:r>
        <w:r>
          <w:rPr>
            <w:noProof/>
            <w:webHidden/>
          </w:rPr>
          <w:t>10</w:t>
        </w:r>
        <w:r>
          <w:rPr>
            <w:noProof/>
            <w:webHidden/>
          </w:rPr>
          <w:fldChar w:fldCharType="end"/>
        </w:r>
      </w:hyperlink>
    </w:p>
    <w:p w14:paraId="0E3D82BA" w14:textId="3FA5CB78" w:rsidR="00BA6F6C" w:rsidRDefault="00BA6F6C">
      <w:pPr>
        <w:pStyle w:val="TOC2"/>
        <w:rPr>
          <w:rFonts w:eastAsiaTheme="minorEastAsia"/>
          <w:noProof/>
          <w:kern w:val="2"/>
          <w:sz w:val="24"/>
          <w:szCs w:val="24"/>
          <w:lang w:val="en-AU" w:eastAsia="en-AU"/>
          <w14:ligatures w14:val="standardContextual"/>
        </w:rPr>
      </w:pPr>
      <w:hyperlink w:anchor="_Toc211350033" w:history="1">
        <w:r w:rsidRPr="003D6189">
          <w:rPr>
            <w:rStyle w:val="Hyperlink"/>
            <w:noProof/>
          </w:rPr>
          <w:t>3.4</w:t>
        </w:r>
        <w:r>
          <w:rPr>
            <w:rFonts w:eastAsiaTheme="minorEastAsia"/>
            <w:noProof/>
            <w:kern w:val="2"/>
            <w:sz w:val="24"/>
            <w:szCs w:val="24"/>
            <w:lang w:val="en-AU" w:eastAsia="en-AU"/>
            <w14:ligatures w14:val="standardContextual"/>
          </w:rPr>
          <w:tab/>
        </w:r>
        <w:r w:rsidRPr="003D6189">
          <w:rPr>
            <w:rStyle w:val="Hyperlink"/>
            <w:noProof/>
          </w:rPr>
          <w:t>How to lodge a reportable situation on the Regulatory Portal</w:t>
        </w:r>
        <w:r>
          <w:rPr>
            <w:noProof/>
            <w:webHidden/>
          </w:rPr>
          <w:tab/>
        </w:r>
        <w:r>
          <w:rPr>
            <w:noProof/>
            <w:webHidden/>
          </w:rPr>
          <w:fldChar w:fldCharType="begin"/>
        </w:r>
        <w:r>
          <w:rPr>
            <w:noProof/>
            <w:webHidden/>
          </w:rPr>
          <w:instrText xml:space="preserve"> PAGEREF _Toc211350033 \h </w:instrText>
        </w:r>
        <w:r>
          <w:rPr>
            <w:noProof/>
            <w:webHidden/>
          </w:rPr>
        </w:r>
        <w:r>
          <w:rPr>
            <w:noProof/>
            <w:webHidden/>
          </w:rPr>
          <w:fldChar w:fldCharType="separate"/>
        </w:r>
        <w:r>
          <w:rPr>
            <w:noProof/>
            <w:webHidden/>
          </w:rPr>
          <w:t>11</w:t>
        </w:r>
        <w:r>
          <w:rPr>
            <w:noProof/>
            <w:webHidden/>
          </w:rPr>
          <w:fldChar w:fldCharType="end"/>
        </w:r>
      </w:hyperlink>
    </w:p>
    <w:p w14:paraId="68CCDC8E" w14:textId="5C95C808" w:rsidR="00BA6F6C" w:rsidRDefault="00BA6F6C">
      <w:pPr>
        <w:pStyle w:val="TOC2"/>
        <w:rPr>
          <w:rFonts w:eastAsiaTheme="minorEastAsia"/>
          <w:noProof/>
          <w:kern w:val="2"/>
          <w:sz w:val="24"/>
          <w:szCs w:val="24"/>
          <w:lang w:val="en-AU" w:eastAsia="en-AU"/>
          <w14:ligatures w14:val="standardContextual"/>
        </w:rPr>
      </w:pPr>
      <w:hyperlink w:anchor="_Toc211350035" w:history="1">
        <w:r w:rsidRPr="003D6189">
          <w:rPr>
            <w:rStyle w:val="Hyperlink"/>
            <w:noProof/>
          </w:rPr>
          <w:t>3.5</w:t>
        </w:r>
        <w:r>
          <w:rPr>
            <w:rFonts w:eastAsiaTheme="minorEastAsia"/>
            <w:noProof/>
            <w:kern w:val="2"/>
            <w:sz w:val="24"/>
            <w:szCs w:val="24"/>
            <w:lang w:val="en-AU" w:eastAsia="en-AU"/>
            <w14:ligatures w14:val="standardContextual"/>
          </w:rPr>
          <w:tab/>
        </w:r>
        <w:r w:rsidRPr="003D6189">
          <w:rPr>
            <w:rStyle w:val="Hyperlink"/>
            <w:noProof/>
          </w:rPr>
          <w:t>Grouping reportable situations</w:t>
        </w:r>
        <w:r>
          <w:rPr>
            <w:noProof/>
            <w:webHidden/>
          </w:rPr>
          <w:tab/>
        </w:r>
        <w:r>
          <w:rPr>
            <w:noProof/>
            <w:webHidden/>
          </w:rPr>
          <w:fldChar w:fldCharType="begin"/>
        </w:r>
        <w:r>
          <w:rPr>
            <w:noProof/>
            <w:webHidden/>
          </w:rPr>
          <w:instrText xml:space="preserve"> PAGEREF _Toc211350035 \h </w:instrText>
        </w:r>
        <w:r>
          <w:rPr>
            <w:noProof/>
            <w:webHidden/>
          </w:rPr>
        </w:r>
        <w:r>
          <w:rPr>
            <w:noProof/>
            <w:webHidden/>
          </w:rPr>
          <w:fldChar w:fldCharType="separate"/>
        </w:r>
        <w:r>
          <w:rPr>
            <w:noProof/>
            <w:webHidden/>
          </w:rPr>
          <w:t>12</w:t>
        </w:r>
        <w:r>
          <w:rPr>
            <w:noProof/>
            <w:webHidden/>
          </w:rPr>
          <w:fldChar w:fldCharType="end"/>
        </w:r>
      </w:hyperlink>
    </w:p>
    <w:p w14:paraId="16361C43" w14:textId="051400A1" w:rsidR="00BA6F6C" w:rsidRDefault="00BA6F6C">
      <w:pPr>
        <w:pStyle w:val="TOC2"/>
        <w:rPr>
          <w:rFonts w:eastAsiaTheme="minorEastAsia"/>
          <w:noProof/>
          <w:kern w:val="2"/>
          <w:sz w:val="24"/>
          <w:szCs w:val="24"/>
          <w:lang w:val="en-AU" w:eastAsia="en-AU"/>
          <w14:ligatures w14:val="standardContextual"/>
        </w:rPr>
      </w:pPr>
      <w:hyperlink w:anchor="_Toc211350038" w:history="1">
        <w:r w:rsidRPr="003D6189">
          <w:rPr>
            <w:rStyle w:val="Hyperlink"/>
            <w:noProof/>
          </w:rPr>
          <w:t>3.6</w:t>
        </w:r>
        <w:r>
          <w:rPr>
            <w:rFonts w:eastAsiaTheme="minorEastAsia"/>
            <w:noProof/>
            <w:kern w:val="2"/>
            <w:sz w:val="24"/>
            <w:szCs w:val="24"/>
            <w:lang w:val="en-AU" w:eastAsia="en-AU"/>
            <w14:ligatures w14:val="standardContextual"/>
          </w:rPr>
          <w:tab/>
        </w:r>
        <w:r w:rsidRPr="003D6189">
          <w:rPr>
            <w:rStyle w:val="Hyperlink"/>
            <w:noProof/>
          </w:rPr>
          <w:t>Obligation to report another licensee</w:t>
        </w:r>
        <w:r>
          <w:rPr>
            <w:noProof/>
            <w:webHidden/>
          </w:rPr>
          <w:tab/>
        </w:r>
        <w:r>
          <w:rPr>
            <w:noProof/>
            <w:webHidden/>
          </w:rPr>
          <w:fldChar w:fldCharType="begin"/>
        </w:r>
        <w:r>
          <w:rPr>
            <w:noProof/>
            <w:webHidden/>
          </w:rPr>
          <w:instrText xml:space="preserve"> PAGEREF _Toc211350038 \h </w:instrText>
        </w:r>
        <w:r>
          <w:rPr>
            <w:noProof/>
            <w:webHidden/>
          </w:rPr>
        </w:r>
        <w:r>
          <w:rPr>
            <w:noProof/>
            <w:webHidden/>
          </w:rPr>
          <w:fldChar w:fldCharType="separate"/>
        </w:r>
        <w:r>
          <w:rPr>
            <w:noProof/>
            <w:webHidden/>
          </w:rPr>
          <w:t>12</w:t>
        </w:r>
        <w:r>
          <w:rPr>
            <w:noProof/>
            <w:webHidden/>
          </w:rPr>
          <w:fldChar w:fldCharType="end"/>
        </w:r>
      </w:hyperlink>
    </w:p>
    <w:p w14:paraId="34E706AA" w14:textId="2FAF7B5E" w:rsidR="00BA6F6C" w:rsidRDefault="00BA6F6C">
      <w:pPr>
        <w:pStyle w:val="TOC2"/>
        <w:rPr>
          <w:rFonts w:eastAsiaTheme="minorEastAsia"/>
          <w:noProof/>
          <w:kern w:val="2"/>
          <w:sz w:val="24"/>
          <w:szCs w:val="24"/>
          <w:lang w:val="en-AU" w:eastAsia="en-AU"/>
          <w14:ligatures w14:val="standardContextual"/>
        </w:rPr>
      </w:pPr>
      <w:hyperlink w:anchor="_Toc211350039" w:history="1">
        <w:r w:rsidRPr="003D6189">
          <w:rPr>
            <w:rStyle w:val="Hyperlink"/>
            <w:noProof/>
          </w:rPr>
          <w:t>3.7</w:t>
        </w:r>
        <w:r>
          <w:rPr>
            <w:rFonts w:eastAsiaTheme="minorEastAsia"/>
            <w:noProof/>
            <w:kern w:val="2"/>
            <w:sz w:val="24"/>
            <w:szCs w:val="24"/>
            <w:lang w:val="en-AU" w:eastAsia="en-AU"/>
            <w14:ligatures w14:val="standardContextual"/>
          </w:rPr>
          <w:tab/>
        </w:r>
        <w:r w:rsidRPr="003D6189">
          <w:rPr>
            <w:rStyle w:val="Hyperlink"/>
            <w:noProof/>
          </w:rPr>
          <w:t>How to report another licensee</w:t>
        </w:r>
        <w:r>
          <w:rPr>
            <w:noProof/>
            <w:webHidden/>
          </w:rPr>
          <w:tab/>
        </w:r>
        <w:r>
          <w:rPr>
            <w:noProof/>
            <w:webHidden/>
          </w:rPr>
          <w:fldChar w:fldCharType="begin"/>
        </w:r>
        <w:r>
          <w:rPr>
            <w:noProof/>
            <w:webHidden/>
          </w:rPr>
          <w:instrText xml:space="preserve"> PAGEREF _Toc211350039 \h </w:instrText>
        </w:r>
        <w:r>
          <w:rPr>
            <w:noProof/>
            <w:webHidden/>
          </w:rPr>
        </w:r>
        <w:r>
          <w:rPr>
            <w:noProof/>
            <w:webHidden/>
          </w:rPr>
          <w:fldChar w:fldCharType="separate"/>
        </w:r>
        <w:r>
          <w:rPr>
            <w:noProof/>
            <w:webHidden/>
          </w:rPr>
          <w:t>12</w:t>
        </w:r>
        <w:r>
          <w:rPr>
            <w:noProof/>
            <w:webHidden/>
          </w:rPr>
          <w:fldChar w:fldCharType="end"/>
        </w:r>
      </w:hyperlink>
    </w:p>
    <w:p w14:paraId="1DF776CF" w14:textId="37CF98CA" w:rsidR="00BA6F6C" w:rsidRDefault="00BA6F6C">
      <w:pPr>
        <w:pStyle w:val="TOC1"/>
        <w:rPr>
          <w:rFonts w:eastAsiaTheme="minorEastAsia"/>
          <w:b w:val="0"/>
          <w:noProof/>
          <w:color w:val="auto"/>
          <w:kern w:val="2"/>
          <w:sz w:val="24"/>
          <w:szCs w:val="24"/>
          <w:lang w:val="en-AU" w:eastAsia="en-AU"/>
          <w14:ligatures w14:val="standardContextual"/>
        </w:rPr>
      </w:pPr>
      <w:hyperlink w:anchor="_Toc211350040" w:history="1">
        <w:r w:rsidRPr="003D6189">
          <w:rPr>
            <w:rStyle w:val="Hyperlink"/>
            <w:noProof/>
          </w:rPr>
          <w:t>A.</w:t>
        </w:r>
        <w:r>
          <w:rPr>
            <w:rFonts w:eastAsiaTheme="minorEastAsia"/>
            <w:b w:val="0"/>
            <w:noProof/>
            <w:color w:val="auto"/>
            <w:kern w:val="2"/>
            <w:sz w:val="24"/>
            <w:szCs w:val="24"/>
            <w:lang w:val="en-AU" w:eastAsia="en-AU"/>
            <w14:ligatures w14:val="standardContextual"/>
          </w:rPr>
          <w:tab/>
        </w:r>
        <w:r w:rsidRPr="003D6189">
          <w:rPr>
            <w:rStyle w:val="Hyperlink"/>
            <w:noProof/>
          </w:rPr>
          <w:t>Appendices</w:t>
        </w:r>
        <w:r>
          <w:rPr>
            <w:noProof/>
            <w:webHidden/>
          </w:rPr>
          <w:tab/>
        </w:r>
        <w:r>
          <w:rPr>
            <w:noProof/>
            <w:webHidden/>
          </w:rPr>
          <w:fldChar w:fldCharType="begin"/>
        </w:r>
        <w:r>
          <w:rPr>
            <w:noProof/>
            <w:webHidden/>
          </w:rPr>
          <w:instrText xml:space="preserve"> PAGEREF _Toc211350040 \h </w:instrText>
        </w:r>
        <w:r>
          <w:rPr>
            <w:noProof/>
            <w:webHidden/>
          </w:rPr>
        </w:r>
        <w:r>
          <w:rPr>
            <w:noProof/>
            <w:webHidden/>
          </w:rPr>
          <w:fldChar w:fldCharType="separate"/>
        </w:r>
        <w:r>
          <w:rPr>
            <w:noProof/>
            <w:webHidden/>
          </w:rPr>
          <w:t>14</w:t>
        </w:r>
        <w:r>
          <w:rPr>
            <w:noProof/>
            <w:webHidden/>
          </w:rPr>
          <w:fldChar w:fldCharType="end"/>
        </w:r>
      </w:hyperlink>
    </w:p>
    <w:p w14:paraId="3995AEE1" w14:textId="5BC40C12" w:rsidR="00BA6F6C" w:rsidRDefault="00BA6F6C">
      <w:pPr>
        <w:pStyle w:val="TOC2"/>
        <w:rPr>
          <w:rFonts w:eastAsiaTheme="minorEastAsia"/>
          <w:noProof/>
          <w:kern w:val="2"/>
          <w:sz w:val="24"/>
          <w:szCs w:val="24"/>
          <w:lang w:val="en-AU" w:eastAsia="en-AU"/>
          <w14:ligatures w14:val="standardContextual"/>
        </w:rPr>
      </w:pPr>
      <w:hyperlink w:anchor="_Toc211350335" w:history="1">
        <w:r w:rsidRPr="003D6189">
          <w:rPr>
            <w:rStyle w:val="Hyperlink"/>
            <w:noProof/>
          </w:rPr>
          <w:t>A.1</w:t>
        </w:r>
        <w:r>
          <w:rPr>
            <w:rFonts w:eastAsiaTheme="minorEastAsia"/>
            <w:noProof/>
            <w:kern w:val="2"/>
            <w:sz w:val="24"/>
            <w:szCs w:val="24"/>
            <w:lang w:val="en-AU" w:eastAsia="en-AU"/>
            <w14:ligatures w14:val="standardContextual"/>
          </w:rPr>
          <w:tab/>
        </w:r>
        <w:r w:rsidRPr="003D6189">
          <w:rPr>
            <w:rStyle w:val="Hyperlink"/>
            <w:noProof/>
          </w:rPr>
          <w:t>Reportable Situation Examples</w:t>
        </w:r>
        <w:r>
          <w:rPr>
            <w:noProof/>
            <w:webHidden/>
          </w:rPr>
          <w:tab/>
        </w:r>
        <w:r>
          <w:rPr>
            <w:noProof/>
            <w:webHidden/>
          </w:rPr>
          <w:fldChar w:fldCharType="begin"/>
        </w:r>
        <w:r>
          <w:rPr>
            <w:noProof/>
            <w:webHidden/>
          </w:rPr>
          <w:instrText xml:space="preserve"> PAGEREF _Toc211350335 \h </w:instrText>
        </w:r>
        <w:r>
          <w:rPr>
            <w:noProof/>
            <w:webHidden/>
          </w:rPr>
        </w:r>
        <w:r>
          <w:rPr>
            <w:noProof/>
            <w:webHidden/>
          </w:rPr>
          <w:fldChar w:fldCharType="separate"/>
        </w:r>
        <w:r>
          <w:rPr>
            <w:noProof/>
            <w:webHidden/>
          </w:rPr>
          <w:t>14</w:t>
        </w:r>
        <w:r>
          <w:rPr>
            <w:noProof/>
            <w:webHidden/>
          </w:rPr>
          <w:fldChar w:fldCharType="end"/>
        </w:r>
      </w:hyperlink>
    </w:p>
    <w:p w14:paraId="08E83F8E" w14:textId="52F8E54A" w:rsidR="00E94676" w:rsidRDefault="008328F3" w:rsidP="00E94676">
      <w:pPr>
        <w:pStyle w:val="Heading1"/>
        <w:numPr>
          <w:ilvl w:val="0"/>
          <w:numId w:val="0"/>
        </w:numPr>
        <w:ind w:left="851"/>
        <w:rPr>
          <w:rFonts w:cstheme="minorHAnsi"/>
          <w:szCs w:val="24"/>
        </w:rPr>
      </w:pPr>
      <w:r>
        <w:rPr>
          <w:rFonts w:cstheme="minorHAnsi"/>
          <w:color w:val="3F3F3F" w:themeColor="accent2"/>
          <w:sz w:val="22"/>
          <w:szCs w:val="24"/>
        </w:rPr>
        <w:fldChar w:fldCharType="end"/>
      </w:r>
    </w:p>
    <w:p w14:paraId="09213B89" w14:textId="77777777" w:rsidR="00E94676" w:rsidRDefault="00E94676" w:rsidP="00E94676"/>
    <w:p w14:paraId="6F4DBEFB" w14:textId="77777777" w:rsidR="00A4626E" w:rsidRDefault="00A4626E" w:rsidP="00E94676"/>
    <w:p w14:paraId="52B85DAE" w14:textId="77777777" w:rsidR="00A4626E" w:rsidRDefault="00A4626E" w:rsidP="00E94676"/>
    <w:p w14:paraId="5C591972" w14:textId="77777777" w:rsidR="00E94676" w:rsidRDefault="00E94676" w:rsidP="00E94676"/>
    <w:p w14:paraId="2B6F710C" w14:textId="77777777" w:rsidR="00E94676" w:rsidRDefault="00E94676" w:rsidP="00E94676"/>
    <w:tbl>
      <w:tblPr>
        <w:tblStyle w:val="CAWhitepapertable"/>
        <w:tblW w:w="5000" w:type="pct"/>
        <w:tblLook w:val="04A0" w:firstRow="1" w:lastRow="0" w:firstColumn="1" w:lastColumn="0" w:noHBand="0" w:noVBand="1"/>
      </w:tblPr>
      <w:tblGrid>
        <w:gridCol w:w="1129"/>
        <w:gridCol w:w="2676"/>
        <w:gridCol w:w="2479"/>
        <w:gridCol w:w="3574"/>
      </w:tblGrid>
      <w:tr w:rsidR="00E94676" w14:paraId="4C67C110" w14:textId="77777777" w:rsidTr="00317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5FF746C" w14:textId="77777777" w:rsidR="00E94676" w:rsidRPr="00FB3AA2" w:rsidRDefault="00E94676" w:rsidP="003178D7">
            <w:pPr>
              <w:pStyle w:val="Tabletextheading"/>
            </w:pPr>
            <w:r>
              <w:t>Version</w:t>
            </w:r>
          </w:p>
        </w:tc>
        <w:tc>
          <w:tcPr>
            <w:tcW w:w="2676" w:type="dxa"/>
          </w:tcPr>
          <w:p w14:paraId="342219E5" w14:textId="77777777" w:rsidR="00E94676" w:rsidRPr="00FB3AA2" w:rsidRDefault="00E94676" w:rsidP="003178D7">
            <w:pPr>
              <w:pStyle w:val="Tabletextheading"/>
              <w:cnfStyle w:val="100000000000" w:firstRow="1" w:lastRow="0" w:firstColumn="0" w:lastColumn="0" w:oddVBand="0" w:evenVBand="0" w:oddHBand="0" w:evenHBand="0" w:firstRowFirstColumn="0" w:firstRowLastColumn="0" w:lastRowFirstColumn="0" w:lastRowLastColumn="0"/>
            </w:pPr>
            <w:r>
              <w:t>Effective date</w:t>
            </w:r>
          </w:p>
        </w:tc>
        <w:tc>
          <w:tcPr>
            <w:tcW w:w="2479" w:type="dxa"/>
          </w:tcPr>
          <w:p w14:paraId="1B4824AF" w14:textId="77777777" w:rsidR="00E94676" w:rsidRPr="00FB3AA2" w:rsidRDefault="00E94676" w:rsidP="003178D7">
            <w:pPr>
              <w:pStyle w:val="Tabletextheading"/>
              <w:cnfStyle w:val="100000000000" w:firstRow="1" w:lastRow="0" w:firstColumn="0" w:lastColumn="0" w:oddVBand="0" w:evenVBand="0" w:oddHBand="0" w:evenHBand="0" w:firstRowFirstColumn="0" w:firstRowLastColumn="0" w:lastRowFirstColumn="0" w:lastRowLastColumn="0"/>
            </w:pPr>
            <w:r>
              <w:t>Document owner</w:t>
            </w:r>
          </w:p>
        </w:tc>
        <w:tc>
          <w:tcPr>
            <w:tcW w:w="3574" w:type="dxa"/>
          </w:tcPr>
          <w:p w14:paraId="39B413C8" w14:textId="77777777" w:rsidR="00E94676" w:rsidRPr="00FB3AA2" w:rsidRDefault="00E94676" w:rsidP="003178D7">
            <w:pPr>
              <w:pStyle w:val="Tabletextheading"/>
              <w:cnfStyle w:val="100000000000" w:firstRow="1" w:lastRow="0" w:firstColumn="0" w:lastColumn="0" w:oddVBand="0" w:evenVBand="0" w:oddHBand="0" w:evenHBand="0" w:firstRowFirstColumn="0" w:firstRowLastColumn="0" w:lastRowFirstColumn="0" w:lastRowLastColumn="0"/>
            </w:pPr>
            <w:r>
              <w:t>Changes</w:t>
            </w:r>
          </w:p>
        </w:tc>
      </w:tr>
      <w:tr w:rsidR="00E94676" w14:paraId="29465922" w14:textId="77777777" w:rsidTr="003178D7">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36661BF" w14:textId="77777777" w:rsidR="00E94676" w:rsidRPr="00510FCC" w:rsidRDefault="00E94676" w:rsidP="003178D7">
            <w:pPr>
              <w:pStyle w:val="Tabletext"/>
            </w:pPr>
            <w:r>
              <w:t>1.0</w:t>
            </w:r>
          </w:p>
        </w:tc>
        <w:sdt>
          <w:sdtPr>
            <w:id w:val="-1278411689"/>
            <w:placeholder>
              <w:docPart w:val="8DF9D409374844EDABDEB479774B351E"/>
            </w:placeholder>
            <w:date w:fullDate="2025-11-12T00:00:00Z">
              <w:dateFormat w:val="d MMMM yyyy"/>
              <w:lid w:val="en-AU"/>
              <w:storeMappedDataAs w:val="dateTime"/>
              <w:calendar w:val="gregorian"/>
            </w:date>
          </w:sdtPr>
          <w:sdtContent>
            <w:tc>
              <w:tcPr>
                <w:tcW w:w="2676" w:type="dxa"/>
              </w:tcPr>
              <w:p w14:paraId="49C0BB8C" w14:textId="7501B085" w:rsidR="00E94676" w:rsidRPr="00FB3AA2" w:rsidRDefault="003A4686" w:rsidP="003178D7">
                <w:pPr>
                  <w:pStyle w:val="Tabletext"/>
                  <w:cnfStyle w:val="000000000000" w:firstRow="0" w:lastRow="0" w:firstColumn="0" w:lastColumn="0" w:oddVBand="0" w:evenVBand="0" w:oddHBand="0" w:evenHBand="0" w:firstRowFirstColumn="0" w:firstRowLastColumn="0" w:lastRowFirstColumn="0" w:lastRowLastColumn="0"/>
                </w:pPr>
                <w:r>
                  <w:t>12 November 2025</w:t>
                </w:r>
              </w:p>
            </w:tc>
          </w:sdtContent>
        </w:sdt>
        <w:tc>
          <w:tcPr>
            <w:tcW w:w="2479" w:type="dxa"/>
          </w:tcPr>
          <w:p w14:paraId="01E7B790" w14:textId="77777777" w:rsidR="00E94676" w:rsidRPr="00FB3AA2" w:rsidRDefault="00E94676" w:rsidP="003178D7">
            <w:pPr>
              <w:pStyle w:val="Tabletext"/>
              <w:cnfStyle w:val="000000000000" w:firstRow="0" w:lastRow="0" w:firstColumn="0" w:lastColumn="0" w:oddVBand="0" w:evenVBand="0" w:oddHBand="0" w:evenHBand="0" w:firstRowFirstColumn="0" w:firstRowLastColumn="0" w:lastRowFirstColumn="0" w:lastRowLastColumn="0"/>
            </w:pPr>
            <w:r>
              <w:t>Table text</w:t>
            </w:r>
          </w:p>
        </w:tc>
        <w:tc>
          <w:tcPr>
            <w:tcW w:w="3574" w:type="dxa"/>
          </w:tcPr>
          <w:p w14:paraId="3179D0A7" w14:textId="77777777" w:rsidR="00E94676" w:rsidRDefault="00E94676" w:rsidP="003178D7">
            <w:pPr>
              <w:pStyle w:val="Tabletext"/>
              <w:cnfStyle w:val="000000000000" w:firstRow="0" w:lastRow="0" w:firstColumn="0" w:lastColumn="0" w:oddVBand="0" w:evenVBand="0" w:oddHBand="0" w:evenHBand="0" w:firstRowFirstColumn="0" w:firstRowLastColumn="0" w:lastRowFirstColumn="0" w:lastRowLastColumn="0"/>
            </w:pPr>
            <w:r>
              <w:t>New</w:t>
            </w:r>
          </w:p>
        </w:tc>
      </w:tr>
    </w:tbl>
    <w:p w14:paraId="46D70ECB" w14:textId="77777777" w:rsidR="00742BCD" w:rsidRDefault="00742BCD">
      <w:pPr>
        <w:spacing w:before="0" w:after="160" w:line="259" w:lineRule="auto"/>
        <w:rPr>
          <w:b/>
          <w:color w:val="000000" w:themeColor="text1"/>
          <w:sz w:val="24"/>
          <w:szCs w:val="36"/>
        </w:rPr>
      </w:pPr>
      <w:r>
        <w:br w:type="page"/>
      </w:r>
    </w:p>
    <w:bookmarkEnd w:id="1"/>
    <w:bookmarkEnd w:id="2"/>
    <w:p w14:paraId="4463342A" w14:textId="11BB9219" w:rsidR="00E274EA" w:rsidRPr="00E227E4" w:rsidRDefault="00E274EA" w:rsidP="00742BCD">
      <w:pPr>
        <w:pStyle w:val="Heading1"/>
      </w:pPr>
    </w:p>
    <w:p w14:paraId="43E7F369" w14:textId="7915BC9F" w:rsidR="00A02210" w:rsidRPr="00E227E4" w:rsidRDefault="00A02210" w:rsidP="00A02210">
      <w:pPr>
        <w:pStyle w:val="Heading2"/>
        <w:rPr>
          <w:rFonts w:cstheme="minorHAnsi"/>
          <w:color w:val="auto"/>
        </w:rPr>
      </w:pPr>
      <w:bookmarkStart w:id="4" w:name="_Toc210983722"/>
      <w:bookmarkStart w:id="5" w:name="_Toc210997246"/>
      <w:bookmarkStart w:id="6" w:name="_Toc210997365"/>
      <w:bookmarkStart w:id="7" w:name="_Toc210997545"/>
      <w:bookmarkStart w:id="8" w:name="_Toc211004413"/>
      <w:bookmarkStart w:id="9" w:name="_Toc211004524"/>
      <w:bookmarkStart w:id="10" w:name="_Toc211004635"/>
      <w:bookmarkStart w:id="11" w:name="_Toc211004746"/>
      <w:bookmarkStart w:id="12" w:name="_Toc211005211"/>
      <w:bookmarkStart w:id="13" w:name="_Toc211007613"/>
      <w:bookmarkStart w:id="14" w:name="_Toc211008098"/>
      <w:bookmarkStart w:id="15" w:name="_Toc211008497"/>
      <w:bookmarkStart w:id="16" w:name="_Toc211335564"/>
      <w:bookmarkStart w:id="17" w:name="_Toc211336389"/>
      <w:bookmarkStart w:id="18" w:name="_Toc211336914"/>
      <w:bookmarkStart w:id="19" w:name="_Toc211346674"/>
      <w:bookmarkStart w:id="20" w:name="_Toc211347098"/>
      <w:bookmarkStart w:id="21" w:name="_Toc211347539"/>
      <w:bookmarkStart w:id="22" w:name="_Toc211348462"/>
      <w:bookmarkStart w:id="23" w:name="_Toc211348903"/>
      <w:bookmarkStart w:id="24" w:name="_Toc211349891"/>
      <w:bookmarkStart w:id="25" w:name="_Toc210983723"/>
      <w:bookmarkStart w:id="26" w:name="_Toc210997247"/>
      <w:bookmarkStart w:id="27" w:name="_Toc210997366"/>
      <w:bookmarkStart w:id="28" w:name="_Toc210997546"/>
      <w:bookmarkStart w:id="29" w:name="_Toc211004414"/>
      <w:bookmarkStart w:id="30" w:name="_Toc211004525"/>
      <w:bookmarkStart w:id="31" w:name="_Toc211004636"/>
      <w:bookmarkStart w:id="32" w:name="_Toc211004747"/>
      <w:bookmarkStart w:id="33" w:name="_Toc211005212"/>
      <w:bookmarkStart w:id="34" w:name="_Toc211007614"/>
      <w:bookmarkStart w:id="35" w:name="_Toc211008099"/>
      <w:bookmarkStart w:id="36" w:name="_Toc211008498"/>
      <w:bookmarkStart w:id="37" w:name="_Toc211335565"/>
      <w:bookmarkStart w:id="38" w:name="_Toc211336390"/>
      <w:bookmarkStart w:id="39" w:name="_Toc211336915"/>
      <w:bookmarkStart w:id="40" w:name="_Toc211346675"/>
      <w:bookmarkStart w:id="41" w:name="_Toc211347099"/>
      <w:bookmarkStart w:id="42" w:name="_Toc211347540"/>
      <w:bookmarkStart w:id="43" w:name="_Toc211348463"/>
      <w:bookmarkStart w:id="44" w:name="_Toc211348904"/>
      <w:bookmarkStart w:id="45" w:name="_Toc211349892"/>
      <w:bookmarkStart w:id="46" w:name="_Toc210983724"/>
      <w:bookmarkStart w:id="47" w:name="_Toc210997248"/>
      <w:bookmarkStart w:id="48" w:name="_Toc210997367"/>
      <w:bookmarkStart w:id="49" w:name="_Toc210997547"/>
      <w:bookmarkStart w:id="50" w:name="_Toc211004415"/>
      <w:bookmarkStart w:id="51" w:name="_Toc211004526"/>
      <w:bookmarkStart w:id="52" w:name="_Toc211004637"/>
      <w:bookmarkStart w:id="53" w:name="_Toc211004748"/>
      <w:bookmarkStart w:id="54" w:name="_Toc211005213"/>
      <w:bookmarkStart w:id="55" w:name="_Toc211007615"/>
      <w:bookmarkStart w:id="56" w:name="_Toc211008100"/>
      <w:bookmarkStart w:id="57" w:name="_Toc211008499"/>
      <w:bookmarkStart w:id="58" w:name="_Toc211335566"/>
      <w:bookmarkStart w:id="59" w:name="_Toc211336391"/>
      <w:bookmarkStart w:id="60" w:name="_Toc211336916"/>
      <w:bookmarkStart w:id="61" w:name="_Toc211346676"/>
      <w:bookmarkStart w:id="62" w:name="_Toc211347100"/>
      <w:bookmarkStart w:id="63" w:name="_Toc211347541"/>
      <w:bookmarkStart w:id="64" w:name="_Toc211348464"/>
      <w:bookmarkStart w:id="65" w:name="_Toc211348905"/>
      <w:bookmarkStart w:id="66" w:name="_Toc211349893"/>
      <w:bookmarkStart w:id="67" w:name="_Toc210983725"/>
      <w:bookmarkStart w:id="68" w:name="_Toc210997249"/>
      <w:bookmarkStart w:id="69" w:name="_Toc210997368"/>
      <w:bookmarkStart w:id="70" w:name="_Toc210997548"/>
      <w:bookmarkStart w:id="71" w:name="_Toc211004416"/>
      <w:bookmarkStart w:id="72" w:name="_Toc211004527"/>
      <w:bookmarkStart w:id="73" w:name="_Toc211004638"/>
      <w:bookmarkStart w:id="74" w:name="_Toc211004749"/>
      <w:bookmarkStart w:id="75" w:name="_Toc211005214"/>
      <w:bookmarkStart w:id="76" w:name="_Toc211007616"/>
      <w:bookmarkStart w:id="77" w:name="_Toc211008101"/>
      <w:bookmarkStart w:id="78" w:name="_Toc211008500"/>
      <w:bookmarkStart w:id="79" w:name="_Toc211335567"/>
      <w:bookmarkStart w:id="80" w:name="_Toc211336392"/>
      <w:bookmarkStart w:id="81" w:name="_Toc211336917"/>
      <w:bookmarkStart w:id="82" w:name="_Toc211346677"/>
      <w:bookmarkStart w:id="83" w:name="_Toc211347101"/>
      <w:bookmarkStart w:id="84" w:name="_Toc211347542"/>
      <w:bookmarkStart w:id="85" w:name="_Toc211348465"/>
      <w:bookmarkStart w:id="86" w:name="_Toc211348906"/>
      <w:bookmarkStart w:id="87" w:name="_Toc211349894"/>
      <w:bookmarkStart w:id="88" w:name="_Toc197698553"/>
      <w:bookmarkStart w:id="89" w:name="_Toc2113498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227E4">
        <w:rPr>
          <w:rFonts w:cstheme="minorHAnsi"/>
          <w:color w:val="auto"/>
        </w:rPr>
        <w:t>Definitions</w:t>
      </w:r>
      <w:bookmarkEnd w:id="88"/>
      <w:bookmarkEnd w:id="89"/>
    </w:p>
    <w:p w14:paraId="3471DAF6" w14:textId="69645510" w:rsidR="00A02210" w:rsidRPr="00016D75" w:rsidRDefault="00A02210" w:rsidP="00921C85">
      <w:pPr>
        <w:pStyle w:val="Subpara1"/>
        <w:rPr>
          <w:rFonts w:cstheme="minorHAnsi"/>
          <w:shd w:val="clear" w:color="auto" w:fill="FFFFFF"/>
        </w:rPr>
      </w:pPr>
      <w:r w:rsidRPr="00755546">
        <w:rPr>
          <w:b/>
        </w:rPr>
        <w:t>Incident</w:t>
      </w:r>
      <w:r w:rsidR="00016D75">
        <w:t xml:space="preserve"> - </w:t>
      </w:r>
      <w:r w:rsidRPr="00016D75">
        <w:rPr>
          <w:rFonts w:cstheme="minorHAnsi"/>
          <w:shd w:val="clear" w:color="auto" w:fill="FFFFFF"/>
        </w:rPr>
        <w:t xml:space="preserve">An event that occurs, where something goes wrong. </w:t>
      </w:r>
      <w:r w:rsidR="006268A9">
        <w:rPr>
          <w:rFonts w:cstheme="minorHAnsi"/>
          <w:shd w:val="clear" w:color="auto" w:fill="FFFFFF"/>
        </w:rPr>
        <w:t xml:space="preserve">It is a suspected breach or reportable situation. </w:t>
      </w:r>
      <w:r w:rsidR="005F5318">
        <w:rPr>
          <w:rFonts w:cstheme="minorHAnsi"/>
          <w:shd w:val="clear" w:color="auto" w:fill="FFFFFF"/>
        </w:rPr>
        <w:t xml:space="preserve">An incident must be assessed to determine if it is a breach </w:t>
      </w:r>
      <w:r w:rsidR="00555E29">
        <w:rPr>
          <w:rFonts w:cstheme="minorHAnsi"/>
          <w:shd w:val="clear" w:color="auto" w:fill="FFFFFF"/>
        </w:rPr>
        <w:t>or reportable situation.</w:t>
      </w:r>
    </w:p>
    <w:p w14:paraId="03F641E1" w14:textId="214130E3" w:rsidR="0075301A" w:rsidRPr="0075301A" w:rsidRDefault="00A02210" w:rsidP="00921C85">
      <w:pPr>
        <w:pStyle w:val="Subpara1"/>
        <w:rPr>
          <w:shd w:val="clear" w:color="auto" w:fill="FFFFFF"/>
          <w:lang w:val="en-AU"/>
        </w:rPr>
      </w:pPr>
      <w:r w:rsidRPr="00921C85">
        <w:rPr>
          <w:b/>
          <w:bCs w:val="0"/>
          <w:shd w:val="clear" w:color="auto" w:fill="FFFFFF"/>
        </w:rPr>
        <w:t>Breach</w:t>
      </w:r>
      <w:r w:rsidR="00813F7A">
        <w:rPr>
          <w:shd w:val="clear" w:color="auto" w:fill="FFFFFF"/>
        </w:rPr>
        <w:t xml:space="preserve"> – </w:t>
      </w:r>
      <w:r w:rsidR="005A2AB5">
        <w:rPr>
          <w:shd w:val="clear" w:color="auto" w:fill="FFFFFF"/>
        </w:rPr>
        <w:t>Non-compliance</w:t>
      </w:r>
      <w:r w:rsidR="00813F7A">
        <w:rPr>
          <w:shd w:val="clear" w:color="auto" w:fill="FFFFFF"/>
        </w:rPr>
        <w:t xml:space="preserve"> or</w:t>
      </w:r>
      <w:r w:rsidR="005A2AB5">
        <w:rPr>
          <w:shd w:val="clear" w:color="auto" w:fill="FFFFFF"/>
        </w:rPr>
        <w:t xml:space="preserve"> a</w:t>
      </w:r>
      <w:r w:rsidR="00813F7A">
        <w:rPr>
          <w:shd w:val="clear" w:color="auto" w:fill="FFFFFF"/>
        </w:rPr>
        <w:t xml:space="preserve"> contravention</w:t>
      </w:r>
      <w:r w:rsidR="00376E26">
        <w:rPr>
          <w:shd w:val="clear" w:color="auto" w:fill="FFFFFF"/>
        </w:rPr>
        <w:t xml:space="preserve"> of a legal duty</w:t>
      </w:r>
      <w:r w:rsidR="00056C8C">
        <w:rPr>
          <w:shd w:val="clear" w:color="auto" w:fill="FFFFFF"/>
        </w:rPr>
        <w:t xml:space="preserve">, </w:t>
      </w:r>
      <w:r w:rsidR="00376E26">
        <w:rPr>
          <w:shd w:val="clear" w:color="auto" w:fill="FFFFFF"/>
        </w:rPr>
        <w:t>obligation</w:t>
      </w:r>
      <w:r w:rsidR="00056C8C">
        <w:rPr>
          <w:shd w:val="clear" w:color="auto" w:fill="FFFFFF"/>
        </w:rPr>
        <w:t xml:space="preserve"> or financial services law. </w:t>
      </w:r>
      <w:r w:rsidR="0075301A" w:rsidRPr="0075301A">
        <w:rPr>
          <w:shd w:val="clear" w:color="auto" w:fill="FFFFFF"/>
          <w:lang w:val="en-AU"/>
        </w:rPr>
        <w:t>Not all breaches are reportable situations. The legislation defines when a matter is reportable.</w:t>
      </w:r>
    </w:p>
    <w:p w14:paraId="6DE74B74" w14:textId="6334D76F" w:rsidR="00346A9D" w:rsidRDefault="00056C8C" w:rsidP="00557C24">
      <w:pPr>
        <w:pStyle w:val="Subpara1"/>
        <w:rPr>
          <w:shd w:val="clear" w:color="auto" w:fill="FFFFFF"/>
        </w:rPr>
      </w:pPr>
      <w:r w:rsidRPr="003A230B">
        <w:rPr>
          <w:b/>
          <w:shd w:val="clear" w:color="auto" w:fill="FFFFFF"/>
        </w:rPr>
        <w:t>Reportable Situation</w:t>
      </w:r>
      <w:r>
        <w:rPr>
          <w:shd w:val="clear" w:color="auto" w:fill="FFFFFF"/>
        </w:rPr>
        <w:t xml:space="preserve"> </w:t>
      </w:r>
      <w:r w:rsidR="00346A9D">
        <w:rPr>
          <w:shd w:val="clear" w:color="auto" w:fill="FFFFFF"/>
        </w:rPr>
        <w:t>–</w:t>
      </w:r>
      <w:r>
        <w:rPr>
          <w:shd w:val="clear" w:color="auto" w:fill="FFFFFF"/>
        </w:rPr>
        <w:t xml:space="preserve"> </w:t>
      </w:r>
      <w:r w:rsidR="002266C7">
        <w:rPr>
          <w:shd w:val="clear" w:color="auto" w:fill="FFFFFF"/>
        </w:rPr>
        <w:t>Conduct</w:t>
      </w:r>
      <w:r w:rsidR="00287450">
        <w:rPr>
          <w:shd w:val="clear" w:color="auto" w:fill="FFFFFF"/>
        </w:rPr>
        <w:t xml:space="preserve"> that </w:t>
      </w:r>
      <w:r w:rsidR="00AD05BB">
        <w:rPr>
          <w:shd w:val="clear" w:color="auto" w:fill="FFFFFF"/>
        </w:rPr>
        <w:t xml:space="preserve">is defined </w:t>
      </w:r>
      <w:r w:rsidR="00C24FA9">
        <w:rPr>
          <w:shd w:val="clear" w:color="auto" w:fill="FFFFFF"/>
        </w:rPr>
        <w:t>as:</w:t>
      </w:r>
    </w:p>
    <w:p w14:paraId="7D5D2859" w14:textId="252E1095" w:rsidR="00090D98" w:rsidRDefault="00090D98" w:rsidP="0051341A">
      <w:pPr>
        <w:pStyle w:val="Subpara2"/>
        <w:rPr>
          <w:shd w:val="clear" w:color="auto" w:fill="FFFFFF"/>
        </w:rPr>
      </w:pPr>
      <w:r w:rsidRPr="00090D98">
        <w:rPr>
          <w:shd w:val="clear" w:color="auto" w:fill="FFFFFF"/>
        </w:rPr>
        <w:t xml:space="preserve">breaches or ‘likely breaches’ of core obligations that are significant; </w:t>
      </w:r>
    </w:p>
    <w:p w14:paraId="3C50B592" w14:textId="6C191FB8" w:rsidR="00090D98" w:rsidRDefault="00090D98" w:rsidP="0051341A">
      <w:pPr>
        <w:pStyle w:val="Subpara2"/>
        <w:rPr>
          <w:shd w:val="clear" w:color="auto" w:fill="FFFFFF"/>
        </w:rPr>
      </w:pPr>
      <w:r w:rsidRPr="00090D98">
        <w:rPr>
          <w:shd w:val="clear" w:color="auto" w:fill="FFFFFF"/>
        </w:rPr>
        <w:t xml:space="preserve">investigations into breaches or likely breaches of core obligations that are significant; </w:t>
      </w:r>
    </w:p>
    <w:p w14:paraId="4BC34A2B" w14:textId="56A34570" w:rsidR="00090D98" w:rsidRDefault="00090D98" w:rsidP="0051341A">
      <w:pPr>
        <w:pStyle w:val="Subpara2"/>
        <w:rPr>
          <w:shd w:val="clear" w:color="auto" w:fill="FFFFFF"/>
        </w:rPr>
      </w:pPr>
      <w:r w:rsidRPr="00090D98">
        <w:rPr>
          <w:shd w:val="clear" w:color="auto" w:fill="FFFFFF"/>
        </w:rPr>
        <w:t xml:space="preserve">additional reportable situations; and </w:t>
      </w:r>
    </w:p>
    <w:p w14:paraId="098F8067" w14:textId="5C07374B" w:rsidR="00090D98" w:rsidRPr="00E63B91" w:rsidRDefault="00090D98" w:rsidP="0051341A">
      <w:pPr>
        <w:pStyle w:val="Subpara2"/>
      </w:pPr>
      <w:r w:rsidRPr="00090D98">
        <w:rPr>
          <w:shd w:val="clear" w:color="auto" w:fill="FFFFFF"/>
        </w:rPr>
        <w:t>reportable situations about other licensees.</w:t>
      </w:r>
    </w:p>
    <w:p w14:paraId="4FAFD6C8" w14:textId="666D3D01" w:rsidR="00F439A0" w:rsidRDefault="009566BD" w:rsidP="00F439A0">
      <w:pPr>
        <w:pStyle w:val="Heading2"/>
      </w:pPr>
      <w:bookmarkStart w:id="90" w:name="_Toc210983727"/>
      <w:bookmarkStart w:id="91" w:name="_Toc210997251"/>
      <w:bookmarkStart w:id="92" w:name="_Toc210997370"/>
      <w:bookmarkStart w:id="93" w:name="_Toc210997550"/>
      <w:bookmarkStart w:id="94" w:name="_Toc211004418"/>
      <w:bookmarkStart w:id="95" w:name="_Toc211004529"/>
      <w:bookmarkStart w:id="96" w:name="_Toc211004640"/>
      <w:bookmarkStart w:id="97" w:name="_Toc211004751"/>
      <w:bookmarkStart w:id="98" w:name="_Toc211005216"/>
      <w:bookmarkStart w:id="99" w:name="_Toc211007618"/>
      <w:bookmarkStart w:id="100" w:name="_Toc211008103"/>
      <w:bookmarkStart w:id="101" w:name="_Toc211008502"/>
      <w:bookmarkStart w:id="102" w:name="_Toc211335569"/>
      <w:bookmarkStart w:id="103" w:name="_Toc211336394"/>
      <w:bookmarkStart w:id="104" w:name="_Toc211336919"/>
      <w:bookmarkStart w:id="105" w:name="_Toc211346679"/>
      <w:bookmarkStart w:id="106" w:name="_Toc211347103"/>
      <w:bookmarkStart w:id="107" w:name="_Toc211347544"/>
      <w:bookmarkStart w:id="108" w:name="_Toc211348467"/>
      <w:bookmarkStart w:id="109" w:name="_Toc211348908"/>
      <w:bookmarkStart w:id="110" w:name="_Toc211349896"/>
      <w:bookmarkStart w:id="111" w:name="_Toc210983728"/>
      <w:bookmarkStart w:id="112" w:name="_Toc210997252"/>
      <w:bookmarkStart w:id="113" w:name="_Toc210997371"/>
      <w:bookmarkStart w:id="114" w:name="_Toc210997551"/>
      <w:bookmarkStart w:id="115" w:name="_Toc211004419"/>
      <w:bookmarkStart w:id="116" w:name="_Toc211004530"/>
      <w:bookmarkStart w:id="117" w:name="_Toc211004641"/>
      <w:bookmarkStart w:id="118" w:name="_Toc211004752"/>
      <w:bookmarkStart w:id="119" w:name="_Toc211005217"/>
      <w:bookmarkStart w:id="120" w:name="_Toc211007619"/>
      <w:bookmarkStart w:id="121" w:name="_Toc211008104"/>
      <w:bookmarkStart w:id="122" w:name="_Toc211008503"/>
      <w:bookmarkStart w:id="123" w:name="_Toc211335570"/>
      <w:bookmarkStart w:id="124" w:name="_Toc211336395"/>
      <w:bookmarkStart w:id="125" w:name="_Toc211336920"/>
      <w:bookmarkStart w:id="126" w:name="_Toc211346680"/>
      <w:bookmarkStart w:id="127" w:name="_Toc211347104"/>
      <w:bookmarkStart w:id="128" w:name="_Toc211347545"/>
      <w:bookmarkStart w:id="129" w:name="_Toc211348468"/>
      <w:bookmarkStart w:id="130" w:name="_Toc211348909"/>
      <w:bookmarkStart w:id="131" w:name="_Toc211349897"/>
      <w:bookmarkStart w:id="132" w:name="_Toc210997253"/>
      <w:bookmarkStart w:id="133" w:name="_Toc210997372"/>
      <w:bookmarkStart w:id="134" w:name="_Toc210997552"/>
      <w:bookmarkStart w:id="135" w:name="_Toc211004420"/>
      <w:bookmarkStart w:id="136" w:name="_Toc211004531"/>
      <w:bookmarkStart w:id="137" w:name="_Toc211004642"/>
      <w:bookmarkStart w:id="138" w:name="_Toc211004753"/>
      <w:bookmarkStart w:id="139" w:name="_Toc211005218"/>
      <w:bookmarkStart w:id="140" w:name="_Toc211007620"/>
      <w:bookmarkStart w:id="141" w:name="_Toc211008105"/>
      <w:bookmarkStart w:id="142" w:name="_Toc211008504"/>
      <w:bookmarkStart w:id="143" w:name="_Toc211335571"/>
      <w:bookmarkStart w:id="144" w:name="_Toc211336396"/>
      <w:bookmarkStart w:id="145" w:name="_Toc211336921"/>
      <w:bookmarkStart w:id="146" w:name="_Toc211346681"/>
      <w:bookmarkStart w:id="147" w:name="_Toc211347105"/>
      <w:bookmarkStart w:id="148" w:name="_Toc211347546"/>
      <w:bookmarkStart w:id="149" w:name="_Toc211348469"/>
      <w:bookmarkStart w:id="150" w:name="_Toc211348910"/>
      <w:bookmarkStart w:id="151" w:name="_Toc211349898"/>
      <w:bookmarkStart w:id="152" w:name="_Toc210997254"/>
      <w:bookmarkStart w:id="153" w:name="_Toc210997373"/>
      <w:bookmarkStart w:id="154" w:name="_Toc210997553"/>
      <w:bookmarkStart w:id="155" w:name="_Toc211004421"/>
      <w:bookmarkStart w:id="156" w:name="_Toc211004532"/>
      <w:bookmarkStart w:id="157" w:name="_Toc211004643"/>
      <w:bookmarkStart w:id="158" w:name="_Toc211004754"/>
      <w:bookmarkStart w:id="159" w:name="_Toc211005219"/>
      <w:bookmarkStart w:id="160" w:name="_Toc211007621"/>
      <w:bookmarkStart w:id="161" w:name="_Toc211008106"/>
      <w:bookmarkStart w:id="162" w:name="_Toc211008505"/>
      <w:bookmarkStart w:id="163" w:name="_Toc211335572"/>
      <w:bookmarkStart w:id="164" w:name="_Toc211336397"/>
      <w:bookmarkStart w:id="165" w:name="_Toc211336922"/>
      <w:bookmarkStart w:id="166" w:name="_Toc211346682"/>
      <w:bookmarkStart w:id="167" w:name="_Toc211347106"/>
      <w:bookmarkStart w:id="168" w:name="_Toc211347547"/>
      <w:bookmarkStart w:id="169" w:name="_Toc211348470"/>
      <w:bookmarkStart w:id="170" w:name="_Toc211348911"/>
      <w:bookmarkStart w:id="171" w:name="_Toc211349899"/>
      <w:bookmarkStart w:id="172" w:name="_Toc210997255"/>
      <w:bookmarkStart w:id="173" w:name="_Toc210997374"/>
      <w:bookmarkStart w:id="174" w:name="_Toc210997554"/>
      <w:bookmarkStart w:id="175" w:name="_Toc211004422"/>
      <w:bookmarkStart w:id="176" w:name="_Toc211004533"/>
      <w:bookmarkStart w:id="177" w:name="_Toc211004644"/>
      <w:bookmarkStart w:id="178" w:name="_Toc211004755"/>
      <w:bookmarkStart w:id="179" w:name="_Toc211005220"/>
      <w:bookmarkStart w:id="180" w:name="_Toc211007622"/>
      <w:bookmarkStart w:id="181" w:name="_Toc211008107"/>
      <w:bookmarkStart w:id="182" w:name="_Toc211008506"/>
      <w:bookmarkStart w:id="183" w:name="_Toc211335573"/>
      <w:bookmarkStart w:id="184" w:name="_Toc211336398"/>
      <w:bookmarkStart w:id="185" w:name="_Toc211336923"/>
      <w:bookmarkStart w:id="186" w:name="_Toc211346683"/>
      <w:bookmarkStart w:id="187" w:name="_Toc211347107"/>
      <w:bookmarkStart w:id="188" w:name="_Toc211347548"/>
      <w:bookmarkStart w:id="189" w:name="_Toc211348471"/>
      <w:bookmarkStart w:id="190" w:name="_Toc211348912"/>
      <w:bookmarkStart w:id="191" w:name="_Toc211349900"/>
      <w:bookmarkStart w:id="192" w:name="_Toc211349901"/>
      <w:bookmarkEnd w:id="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t>Breach management steps</w:t>
      </w:r>
      <w:bookmarkEnd w:id="192"/>
    </w:p>
    <w:p w14:paraId="27CF95E4" w14:textId="5395829D" w:rsidR="00F439A0" w:rsidRDefault="00F439A0" w:rsidP="00F439A0">
      <w:pPr>
        <w:pStyle w:val="Heading3"/>
      </w:pPr>
      <w:r>
        <w:t>The following steps should be followed upon identifying an incident or breach.</w:t>
      </w:r>
    </w:p>
    <w:p w14:paraId="61B6207F" w14:textId="77777777" w:rsidR="00F439A0" w:rsidRDefault="00F439A0" w:rsidP="00F439A0">
      <w:pPr>
        <w:pStyle w:val="Subpara1"/>
      </w:pPr>
      <w:r>
        <w:t>Record the incident or breach in the licensee’s Breach Register</w:t>
      </w:r>
      <w:r w:rsidRPr="00B91750" w:rsidDel="00A50EF2">
        <w:t xml:space="preserve"> </w:t>
      </w:r>
    </w:p>
    <w:p w14:paraId="4041D4AE" w14:textId="1276F65C" w:rsidR="00F439A0" w:rsidRDefault="00F439A0" w:rsidP="00F439A0">
      <w:pPr>
        <w:pStyle w:val="Subpara1"/>
      </w:pPr>
      <w:r>
        <w:t xml:space="preserve">Complete an assessment </w:t>
      </w:r>
      <w:r w:rsidR="009D69C4">
        <w:t xml:space="preserve">and </w:t>
      </w:r>
      <w:r w:rsidR="005D7EF8">
        <w:t>investigate</w:t>
      </w:r>
      <w:r>
        <w:t xml:space="preserve"> if required</w:t>
      </w:r>
    </w:p>
    <w:p w14:paraId="0CE31CCE" w14:textId="7C1D4B6F" w:rsidR="008F1CC1" w:rsidRDefault="00F439A0" w:rsidP="003178D7">
      <w:pPr>
        <w:pStyle w:val="Subpara1"/>
      </w:pPr>
      <w:r>
        <w:t>Determine if the breach is a reportable situation</w:t>
      </w:r>
      <w:r w:rsidR="009D69C4">
        <w:t xml:space="preserve"> and </w:t>
      </w:r>
      <w:r w:rsidR="008F1CC1">
        <w:t>if the matter is exempt</w:t>
      </w:r>
      <w:r w:rsidR="002E2B1B">
        <w:t xml:space="preserve"> from the obligation to notify ASIC</w:t>
      </w:r>
    </w:p>
    <w:p w14:paraId="00790052" w14:textId="10461E26" w:rsidR="003848D8" w:rsidRDefault="003848D8" w:rsidP="00C77D09">
      <w:pPr>
        <w:pStyle w:val="Subpara1"/>
      </w:pPr>
      <w:r>
        <w:t>Comply with reporting obligations</w:t>
      </w:r>
    </w:p>
    <w:p w14:paraId="07D7DCFF" w14:textId="50C594C9" w:rsidR="003848D8" w:rsidRPr="003848D8" w:rsidRDefault="0032196F" w:rsidP="0032196F">
      <w:pPr>
        <w:pStyle w:val="Subpara1"/>
      </w:pPr>
      <w:r>
        <w:t>Rectify, remediat</w:t>
      </w:r>
      <w:r w:rsidR="00703798">
        <w:t xml:space="preserve">e </w:t>
      </w:r>
      <w:r>
        <w:t>and implement preventative measures as required</w:t>
      </w:r>
    </w:p>
    <w:p w14:paraId="5ED712B1" w14:textId="6D051332" w:rsidR="00227BB3" w:rsidRDefault="00B6726D" w:rsidP="00B6726D">
      <w:pPr>
        <w:pStyle w:val="Heading2"/>
      </w:pPr>
      <w:bookmarkStart w:id="193" w:name="_Toc211349902"/>
      <w:r>
        <w:t>Breaches or likely breaches o</w:t>
      </w:r>
      <w:r w:rsidR="008013DD">
        <w:t>f</w:t>
      </w:r>
      <w:r>
        <w:t xml:space="preserve"> core obligations that are significant</w:t>
      </w:r>
      <w:bookmarkEnd w:id="193"/>
    </w:p>
    <w:p w14:paraId="70EA35E9" w14:textId="215B8721" w:rsidR="007C0A35" w:rsidRPr="007C0A35" w:rsidRDefault="00394A0F" w:rsidP="00106E5C">
      <w:pPr>
        <w:pStyle w:val="Heading3"/>
      </w:pPr>
      <w:r>
        <w:t xml:space="preserve">Certain breaches of core obligations are </w:t>
      </w:r>
      <w:r w:rsidR="00233402">
        <w:t xml:space="preserve">‘deemed’ to be significant. If </w:t>
      </w:r>
      <w:r w:rsidR="004771D3">
        <w:t xml:space="preserve">the breach or contravention is not of a deemed </w:t>
      </w:r>
      <w:r w:rsidR="00551EAC">
        <w:t>significant breach, it may still be reportable based on other factors i.e</w:t>
      </w:r>
      <w:r w:rsidR="003836E5">
        <w:t>.</w:t>
      </w:r>
      <w:r w:rsidR="00551EAC">
        <w:t xml:space="preserve"> the second </w:t>
      </w:r>
      <w:r w:rsidR="00DF1A4E">
        <w:t>significance test.</w:t>
      </w:r>
    </w:p>
    <w:tbl>
      <w:tblPr>
        <w:tblStyle w:val="CAWhitepapertable"/>
        <w:tblW w:w="5000" w:type="pct"/>
        <w:tblLook w:val="04A0" w:firstRow="1" w:lastRow="0" w:firstColumn="1" w:lastColumn="0" w:noHBand="0" w:noVBand="1"/>
      </w:tblPr>
      <w:tblGrid>
        <w:gridCol w:w="4063"/>
        <w:gridCol w:w="5795"/>
      </w:tblGrid>
      <w:tr w:rsidR="00227BB3" w:rsidRPr="00227BB3" w14:paraId="774B98DE" w14:textId="77777777" w:rsidTr="00A15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1411508B" w14:textId="77777777" w:rsidR="00227BB3" w:rsidRPr="00227BB3" w:rsidRDefault="00227BB3" w:rsidP="00106E5C">
            <w:pPr>
              <w:pStyle w:val="Tabletextheading"/>
              <w:rPr>
                <w:lang w:val="en-AU"/>
              </w:rPr>
            </w:pPr>
            <w:r w:rsidRPr="00227BB3">
              <w:rPr>
                <w:lang w:val="en-AU"/>
              </w:rPr>
              <w:t>Test</w:t>
            </w:r>
          </w:p>
        </w:tc>
      </w:tr>
      <w:tr w:rsidR="00227BB3" w:rsidRPr="00227BB3" w14:paraId="2A6CC66B" w14:textId="77777777" w:rsidTr="00A15550">
        <w:tc>
          <w:tcPr>
            <w:cnfStyle w:val="001000000000" w:firstRow="0" w:lastRow="0" w:firstColumn="1" w:lastColumn="0" w:oddVBand="0" w:evenVBand="0" w:oddHBand="0" w:evenHBand="0" w:firstRowFirstColumn="0" w:firstRowLastColumn="0" w:lastRowFirstColumn="0" w:lastRowLastColumn="0"/>
            <w:tcW w:w="2061" w:type="pct"/>
          </w:tcPr>
          <w:p w14:paraId="2A347B94" w14:textId="7FFF44B3" w:rsidR="00227BB3" w:rsidRPr="00227BB3" w:rsidRDefault="00227BB3" w:rsidP="00A15550">
            <w:pPr>
              <w:pStyle w:val="Tabletext"/>
              <w:rPr>
                <w:lang w:val="en-AU"/>
              </w:rPr>
            </w:pPr>
            <w:r w:rsidRPr="00227BB3">
              <w:rPr>
                <w:lang w:val="en-AU"/>
              </w:rPr>
              <w:t>Deemed Significant Breaches – certain breaches o</w:t>
            </w:r>
            <w:r w:rsidR="00A21C76">
              <w:rPr>
                <w:lang w:val="en-AU"/>
              </w:rPr>
              <w:t>f</w:t>
            </w:r>
            <w:r w:rsidRPr="00227BB3">
              <w:rPr>
                <w:lang w:val="en-AU"/>
              </w:rPr>
              <w:t xml:space="preserve"> core obligations are taken to be significant and therefore reportable</w:t>
            </w:r>
          </w:p>
          <w:p w14:paraId="3A75AB37" w14:textId="77777777" w:rsidR="00227BB3" w:rsidRPr="00227BB3" w:rsidRDefault="00227BB3" w:rsidP="00A15550">
            <w:pPr>
              <w:pStyle w:val="Tabletext"/>
              <w:rPr>
                <w:lang w:val="en-AU"/>
              </w:rPr>
            </w:pPr>
          </w:p>
        </w:tc>
        <w:tc>
          <w:tcPr>
            <w:tcW w:w="2939" w:type="pct"/>
            <w:hideMark/>
          </w:tcPr>
          <w:p w14:paraId="4F363DA3" w14:textId="77777777" w:rsidR="00227BB3" w:rsidRPr="00227BB3" w:rsidRDefault="00227BB3" w:rsidP="00A15550">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 xml:space="preserve">An </w:t>
            </w:r>
            <w:r w:rsidRPr="00A15550">
              <w:rPr>
                <w:b/>
                <w:bCs/>
                <w:lang w:val="en-AU"/>
              </w:rPr>
              <w:t>offence under any law, punishable by imprisonment</w:t>
            </w:r>
            <w:r w:rsidRPr="00227BB3">
              <w:rPr>
                <w:lang w:val="en-AU"/>
              </w:rPr>
              <w:t xml:space="preserve"> for:</w:t>
            </w:r>
          </w:p>
          <w:p w14:paraId="6EE77C31" w14:textId="77777777" w:rsidR="00227BB3" w:rsidRPr="00227BB3" w:rsidRDefault="00227BB3" w:rsidP="00A15550">
            <w:pPr>
              <w:pStyle w:val="ListBullet2"/>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3 months or more if the offence involves dishonesty</w:t>
            </w:r>
          </w:p>
          <w:p w14:paraId="419445CF" w14:textId="77777777" w:rsidR="00227BB3" w:rsidRPr="00227BB3" w:rsidRDefault="00227BB3" w:rsidP="00A15550">
            <w:pPr>
              <w:pStyle w:val="ListBullet2"/>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12 months or more in any other case</w:t>
            </w:r>
          </w:p>
          <w:p w14:paraId="7046E027" w14:textId="77777777" w:rsidR="00227BB3" w:rsidRPr="00227BB3" w:rsidRDefault="00227BB3" w:rsidP="00C42B37">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C42B37">
              <w:rPr>
                <w:b/>
                <w:bCs/>
                <w:lang w:val="en-AU"/>
              </w:rPr>
              <w:t>Contravention of a civil penalty provision</w:t>
            </w:r>
            <w:r w:rsidRPr="00227BB3">
              <w:rPr>
                <w:lang w:val="en-AU"/>
              </w:rPr>
              <w:t xml:space="preserve"> under any law (excluding those prescribed by the regulations)</w:t>
            </w:r>
          </w:p>
          <w:p w14:paraId="6A121CB8" w14:textId="77777777" w:rsidR="00227BB3" w:rsidRPr="00227BB3" w:rsidRDefault="00227BB3" w:rsidP="00C42B37">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 xml:space="preserve">Contravention of s1041H of the Corporations Act or s12DA(1) of the ASIC Act which relate to </w:t>
            </w:r>
            <w:r w:rsidRPr="00C42B37">
              <w:rPr>
                <w:b/>
                <w:bCs/>
                <w:lang w:val="en-AU"/>
              </w:rPr>
              <w:t>misleading or deceptive conduct</w:t>
            </w:r>
            <w:r w:rsidRPr="00227BB3">
              <w:rPr>
                <w:lang w:val="en-AU"/>
              </w:rPr>
              <w:t xml:space="preserve"> in relation to financial products or services</w:t>
            </w:r>
          </w:p>
          <w:p w14:paraId="53E4B60E" w14:textId="77777777" w:rsidR="00227BB3" w:rsidRPr="00227BB3" w:rsidRDefault="00227BB3" w:rsidP="00C42B37">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 xml:space="preserve">The breach results in </w:t>
            </w:r>
            <w:r w:rsidRPr="00C42B37">
              <w:rPr>
                <w:b/>
                <w:bCs/>
                <w:lang w:val="en-AU"/>
              </w:rPr>
              <w:t>material loss or damage</w:t>
            </w:r>
            <w:r w:rsidRPr="00227BB3">
              <w:rPr>
                <w:lang w:val="en-AU"/>
              </w:rPr>
              <w:t xml:space="preserve"> to a person to whom the licensee or representative provided financial services or products as a wholesale or retail client</w:t>
            </w:r>
          </w:p>
          <w:p w14:paraId="0829108E" w14:textId="77777777" w:rsidR="00227BB3" w:rsidRPr="00227BB3" w:rsidRDefault="00227BB3" w:rsidP="00C42B37">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Any other circumstances prescribed by the regulations</w:t>
            </w:r>
          </w:p>
        </w:tc>
      </w:tr>
      <w:tr w:rsidR="00227BB3" w:rsidRPr="00227BB3" w14:paraId="40014E60" w14:textId="77777777" w:rsidTr="00A15550">
        <w:tc>
          <w:tcPr>
            <w:cnfStyle w:val="001000000000" w:firstRow="0" w:lastRow="0" w:firstColumn="1" w:lastColumn="0" w:oddVBand="0" w:evenVBand="0" w:oddHBand="0" w:evenHBand="0" w:firstRowFirstColumn="0" w:firstRowLastColumn="0" w:lastRowFirstColumn="0" w:lastRowLastColumn="0"/>
            <w:tcW w:w="2061" w:type="pct"/>
          </w:tcPr>
          <w:p w14:paraId="2A04BE81" w14:textId="1E5B7D67" w:rsidR="00227BB3" w:rsidRPr="00227BB3" w:rsidRDefault="008F372B" w:rsidP="00C42B37">
            <w:pPr>
              <w:pStyle w:val="Tabletext"/>
              <w:rPr>
                <w:lang w:val="en-AU"/>
              </w:rPr>
            </w:pPr>
            <w:r>
              <w:rPr>
                <w:lang w:val="en-AU"/>
              </w:rPr>
              <w:lastRenderedPageBreak/>
              <w:t>Second significance test - o</w:t>
            </w:r>
            <w:r w:rsidR="00227BB3" w:rsidRPr="00227BB3">
              <w:rPr>
                <w:lang w:val="en-AU"/>
              </w:rPr>
              <w:t xml:space="preserve">ther breaches that may be significant </w:t>
            </w:r>
          </w:p>
          <w:p w14:paraId="130D2738" w14:textId="77777777" w:rsidR="00227BB3" w:rsidRPr="00227BB3" w:rsidRDefault="00227BB3" w:rsidP="00C42B37">
            <w:pPr>
              <w:pStyle w:val="Tabletext"/>
              <w:rPr>
                <w:lang w:val="en-AU"/>
              </w:rPr>
            </w:pPr>
          </w:p>
        </w:tc>
        <w:tc>
          <w:tcPr>
            <w:tcW w:w="2939" w:type="pct"/>
            <w:hideMark/>
          </w:tcPr>
          <w:p w14:paraId="7AA64656" w14:textId="77777777" w:rsidR="00227BB3" w:rsidRPr="00227BB3" w:rsidRDefault="00227BB3" w:rsidP="00C42B37">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The number and frequency of similar breaches</w:t>
            </w:r>
          </w:p>
          <w:p w14:paraId="57E55DE2" w14:textId="77777777" w:rsidR="00227BB3" w:rsidRPr="00227BB3" w:rsidRDefault="00227BB3" w:rsidP="00C42B37">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The impact of the breach on the licensee's ability to provide financial services</w:t>
            </w:r>
          </w:p>
          <w:p w14:paraId="154F7EB2" w14:textId="77777777" w:rsidR="00227BB3" w:rsidRPr="00227BB3" w:rsidRDefault="00227BB3" w:rsidP="00C42B37">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The extent to which the breach indicates the licensee's arrangements to ensure compliance with those obligations are inadequate</w:t>
            </w:r>
          </w:p>
          <w:p w14:paraId="25BC331B" w14:textId="77777777" w:rsidR="00227BB3" w:rsidRPr="00227BB3" w:rsidRDefault="00227BB3" w:rsidP="00C42B37">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227BB3">
              <w:rPr>
                <w:lang w:val="en-AU"/>
              </w:rPr>
              <w:t>Any other matters prescribed by the regulations</w:t>
            </w:r>
          </w:p>
        </w:tc>
      </w:tr>
    </w:tbl>
    <w:p w14:paraId="212687E0" w14:textId="34918B6E" w:rsidR="00BF1868" w:rsidRDefault="00BF1868" w:rsidP="00C42B37">
      <w:pPr>
        <w:pStyle w:val="Heading2"/>
      </w:pPr>
      <w:bookmarkStart w:id="194" w:name="_Toc211349903"/>
      <w:r>
        <w:t>Core Obligations</w:t>
      </w:r>
      <w:bookmarkEnd w:id="194"/>
    </w:p>
    <w:p w14:paraId="29ED3DF6" w14:textId="38B20996" w:rsidR="004C3AB0" w:rsidRDefault="004C3AB0" w:rsidP="004C3AB0">
      <w:pPr>
        <w:pStyle w:val="Heading3"/>
      </w:pPr>
      <w:r>
        <w:t>Core obligations include:</w:t>
      </w:r>
    </w:p>
    <w:tbl>
      <w:tblPr>
        <w:tblStyle w:val="CAWhitepapertable"/>
        <w:tblW w:w="5000" w:type="pct"/>
        <w:tblLook w:val="04A0" w:firstRow="1" w:lastRow="0" w:firstColumn="1" w:lastColumn="0" w:noHBand="0" w:noVBand="1"/>
      </w:tblPr>
      <w:tblGrid>
        <w:gridCol w:w="4117"/>
        <w:gridCol w:w="5741"/>
      </w:tblGrid>
      <w:tr w:rsidR="004A6960" w:rsidRPr="004A6960" w14:paraId="0490D8AA" w14:textId="77777777" w:rsidTr="00E63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hideMark/>
          </w:tcPr>
          <w:p w14:paraId="0E70DDB9" w14:textId="77777777" w:rsidR="004A6960" w:rsidRPr="004A6960" w:rsidRDefault="004A6960" w:rsidP="001A7D21">
            <w:pPr>
              <w:pStyle w:val="Tabletextheading"/>
              <w:rPr>
                <w:lang w:val="en-AU"/>
              </w:rPr>
            </w:pPr>
            <w:r w:rsidRPr="004A6960">
              <w:rPr>
                <w:lang w:val="en-AU"/>
              </w:rPr>
              <w:t>Core Obligations</w:t>
            </w:r>
          </w:p>
        </w:tc>
        <w:tc>
          <w:tcPr>
            <w:tcW w:w="2912" w:type="pct"/>
            <w:hideMark/>
          </w:tcPr>
          <w:p w14:paraId="1AF6AE7E" w14:textId="77777777" w:rsidR="004A6960" w:rsidRPr="004A6960" w:rsidRDefault="004A6960" w:rsidP="001A7D21">
            <w:pPr>
              <w:pStyle w:val="Tabletextheading"/>
              <w:cnfStyle w:val="100000000000" w:firstRow="1" w:lastRow="0" w:firstColumn="0" w:lastColumn="0" w:oddVBand="0" w:evenVBand="0" w:oddHBand="0" w:evenHBand="0" w:firstRowFirstColumn="0" w:firstRowLastColumn="0" w:lastRowFirstColumn="0" w:lastRowLastColumn="0"/>
              <w:rPr>
                <w:lang w:val="en-AU"/>
              </w:rPr>
            </w:pPr>
            <w:r w:rsidRPr="004A6960">
              <w:rPr>
                <w:lang w:val="en-AU"/>
              </w:rPr>
              <w:t>Description</w:t>
            </w:r>
          </w:p>
        </w:tc>
      </w:tr>
      <w:tr w:rsidR="004A6960" w:rsidRPr="004A6960" w14:paraId="54E3A7AC" w14:textId="77777777" w:rsidTr="00E63B91">
        <w:tc>
          <w:tcPr>
            <w:cnfStyle w:val="001000000000" w:firstRow="0" w:lastRow="0" w:firstColumn="1" w:lastColumn="0" w:oddVBand="0" w:evenVBand="0" w:oddHBand="0" w:evenHBand="0" w:firstRowFirstColumn="0" w:firstRowLastColumn="0" w:lastRowFirstColumn="0" w:lastRowLastColumn="0"/>
            <w:tcW w:w="2088" w:type="pct"/>
            <w:hideMark/>
          </w:tcPr>
          <w:p w14:paraId="43D4B0C6" w14:textId="77777777" w:rsidR="004A6960" w:rsidRPr="004A6960" w:rsidRDefault="004A6960" w:rsidP="00054125">
            <w:pPr>
              <w:pStyle w:val="Tabletext"/>
              <w:rPr>
                <w:lang w:val="en-AU"/>
              </w:rPr>
            </w:pPr>
            <w:r w:rsidRPr="004A6960">
              <w:rPr>
                <w:lang w:val="en-AU"/>
              </w:rPr>
              <w:t>General Licence Obligations under s912A and s912B of the Corporations Act</w:t>
            </w:r>
          </w:p>
        </w:tc>
        <w:tc>
          <w:tcPr>
            <w:tcW w:w="2912" w:type="pct"/>
            <w:hideMark/>
          </w:tcPr>
          <w:p w14:paraId="518E6C8D"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Do all things necessary to ensure that the financial services covered by your licence are provided efficiently, honestly and fairly</w:t>
            </w:r>
          </w:p>
          <w:p w14:paraId="5FE74825"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 xml:space="preserve">Have in place adequate arrangements for the management of conflicts of interest </w:t>
            </w:r>
          </w:p>
          <w:p w14:paraId="46C794FF"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Comply with the conditions of your licence</w:t>
            </w:r>
          </w:p>
          <w:p w14:paraId="71ABE781"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Take reasonable steps to ensure that your representatives comply with the financial services laws</w:t>
            </w:r>
          </w:p>
          <w:p w14:paraId="6ADD3D24"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 xml:space="preserve">Comply with the ASIC reference checking and information sharing protocol </w:t>
            </w:r>
          </w:p>
          <w:p w14:paraId="447F82E4"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 xml:space="preserve">Have adequate resources to provide the financial services covered by your licence and to carry out supervisory arrangements </w:t>
            </w:r>
          </w:p>
          <w:p w14:paraId="6ACD458F"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 xml:space="preserve">Be competent to provide the financial services </w:t>
            </w:r>
          </w:p>
          <w:p w14:paraId="5FF26BE5"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Have trained and competent representatives</w:t>
            </w:r>
          </w:p>
          <w:p w14:paraId="72220E39"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Have an IDR procedure for retail clients that complies with standards and requirements made or approved by ASIC in accordance with the regulations</w:t>
            </w:r>
          </w:p>
          <w:p w14:paraId="1F889F57" w14:textId="77777777" w:rsidR="004A6960" w:rsidRPr="004A6960"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 xml:space="preserve">Have adequate risk management </w:t>
            </w:r>
          </w:p>
          <w:p w14:paraId="335D853E" w14:textId="77777777" w:rsidR="00CB7016" w:rsidRDefault="004A6960" w:rsidP="00CB7016">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 xml:space="preserve">Have compensation arrangements in accordance with s912B; and </w:t>
            </w:r>
          </w:p>
          <w:p w14:paraId="05FCF8DB" w14:textId="1B053F63" w:rsidR="00566B53" w:rsidRPr="00E61F5D" w:rsidRDefault="004A6960" w:rsidP="00054125">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Comply with any other obligations prescribed by Corporations Regulations, including the requirement to cooperate with AFCA</w:t>
            </w:r>
          </w:p>
        </w:tc>
      </w:tr>
      <w:tr w:rsidR="004A6960" w:rsidRPr="004A6960" w14:paraId="493E0F0D" w14:textId="77777777" w:rsidTr="00E63B91">
        <w:tc>
          <w:tcPr>
            <w:cnfStyle w:val="001000000000" w:firstRow="0" w:lastRow="0" w:firstColumn="1" w:lastColumn="0" w:oddVBand="0" w:evenVBand="0" w:oddHBand="0" w:evenHBand="0" w:firstRowFirstColumn="0" w:firstRowLastColumn="0" w:lastRowFirstColumn="0" w:lastRowLastColumn="0"/>
            <w:tcW w:w="2088" w:type="pct"/>
            <w:hideMark/>
          </w:tcPr>
          <w:p w14:paraId="3CA46194" w14:textId="77777777" w:rsidR="004A6960" w:rsidRPr="004A6960" w:rsidRDefault="004A6960" w:rsidP="00B53C29">
            <w:pPr>
              <w:pStyle w:val="Tabletext"/>
              <w:rPr>
                <w:lang w:val="en-AU"/>
              </w:rPr>
            </w:pPr>
            <w:r w:rsidRPr="004A6960">
              <w:rPr>
                <w:lang w:val="en-AU"/>
              </w:rPr>
              <w:t>Comply with certain financial services laws</w:t>
            </w:r>
          </w:p>
        </w:tc>
        <w:tc>
          <w:tcPr>
            <w:tcW w:w="2912" w:type="pct"/>
            <w:hideMark/>
          </w:tcPr>
          <w:p w14:paraId="09403A6B" w14:textId="77777777" w:rsidR="004A6960" w:rsidRPr="004A6960" w:rsidRDefault="004A6960" w:rsidP="00B53C29">
            <w:pPr>
              <w:pStyle w:val="Tabletex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The obligation under s912A(1)(c) of the Corporations Act to comply with the ‘financial services laws’ as defined in s761A, but only those parts that are set out in s912D(3)(b), which includes:</w:t>
            </w:r>
          </w:p>
          <w:p w14:paraId="000DD193" w14:textId="77777777" w:rsidR="004A6960" w:rsidRPr="004A6960" w:rsidRDefault="004A6960" w:rsidP="00B53C29">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Ch 7 of the Corporations Act (financial services and markets)</w:t>
            </w:r>
          </w:p>
          <w:p w14:paraId="2D2D9872" w14:textId="77777777" w:rsidR="004A6960" w:rsidRPr="004A6960" w:rsidRDefault="004A6960" w:rsidP="00B53C29">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4A6960">
              <w:rPr>
                <w:lang w:val="en-AU"/>
              </w:rPr>
              <w:t>Div 2 of Pt 2 of the ASIC Act (unconscionable conduct and consumer protections for financial services) and related regulations under the Australian Securities and Investments Commission Regulations 2001 (ASIC Regulations);</w:t>
            </w:r>
          </w:p>
        </w:tc>
      </w:tr>
    </w:tbl>
    <w:p w14:paraId="5CCEE08B" w14:textId="77777777" w:rsidR="00BF1868" w:rsidRDefault="00BF1868" w:rsidP="00BF1868">
      <w:pPr>
        <w:pStyle w:val="Heading2"/>
      </w:pPr>
      <w:bookmarkStart w:id="195" w:name="_Toc211349904"/>
      <w:r>
        <w:lastRenderedPageBreak/>
        <w:t>Material loss</w:t>
      </w:r>
      <w:bookmarkEnd w:id="195"/>
    </w:p>
    <w:p w14:paraId="07890DD0" w14:textId="77777777" w:rsidR="00BF1868" w:rsidRDefault="00BF1868" w:rsidP="00BF1868">
      <w:pPr>
        <w:pStyle w:val="Heading3"/>
      </w:pPr>
      <w:r>
        <w:t>Material loss or damage is not defined but the following principles should be considered:</w:t>
      </w:r>
    </w:p>
    <w:p w14:paraId="2FE3ABD2" w14:textId="77777777" w:rsidR="00BF1868" w:rsidRDefault="00BF1868" w:rsidP="00BF1868">
      <w:pPr>
        <w:pStyle w:val="Subpara1"/>
      </w:pPr>
      <w:r>
        <w:t>Include financial and non-financial loss or damage</w:t>
      </w:r>
    </w:p>
    <w:p w14:paraId="4C43672A" w14:textId="77777777" w:rsidR="00BF1868" w:rsidRDefault="00BF1868" w:rsidP="00BF1868">
      <w:pPr>
        <w:pStyle w:val="Subpara1"/>
      </w:pPr>
      <w:r>
        <w:t>Whether the loss or damage is material will depend on the person’s circumstances, including their financial position.</w:t>
      </w:r>
    </w:p>
    <w:p w14:paraId="50D981DC" w14:textId="77777777" w:rsidR="00BF1868" w:rsidRDefault="00BF1868" w:rsidP="00BF1868">
      <w:pPr>
        <w:pStyle w:val="Subpara1"/>
      </w:pPr>
      <w:r>
        <w:t>If a breach affects multiple people, the total loss should be considered. If each person only suffers a small loss but the total losses are significant, it would be material.</w:t>
      </w:r>
    </w:p>
    <w:p w14:paraId="4D2C48CA" w14:textId="0FB16156" w:rsidR="006B3D93" w:rsidRDefault="004C3AB0" w:rsidP="004C3AB0">
      <w:pPr>
        <w:pStyle w:val="Heading2"/>
      </w:pPr>
      <w:bookmarkStart w:id="196" w:name="_Toc211349905"/>
      <w:r>
        <w:t>Investigations</w:t>
      </w:r>
      <w:bookmarkEnd w:id="196"/>
    </w:p>
    <w:p w14:paraId="590A3898" w14:textId="5BEF0A76" w:rsidR="008C5020" w:rsidRDefault="00FA421E" w:rsidP="003178D7">
      <w:pPr>
        <w:pStyle w:val="Heading3"/>
      </w:pPr>
      <w:r>
        <w:t>An i</w:t>
      </w:r>
      <w:r w:rsidR="001B354F">
        <w:t>nvestigat</w:t>
      </w:r>
      <w:r>
        <w:t xml:space="preserve">ion </w:t>
      </w:r>
      <w:r w:rsidR="001B354F">
        <w:t xml:space="preserve">into whether a significant breach (or likely significant breach) of a core obligation has occurred, </w:t>
      </w:r>
      <w:r>
        <w:t xml:space="preserve">may be required. </w:t>
      </w:r>
      <w:r w:rsidR="0082147E">
        <w:t xml:space="preserve">If it is unclear whether there has been a breach, an investigation will be required. </w:t>
      </w:r>
      <w:r w:rsidR="001B354F">
        <w:t xml:space="preserve"> </w:t>
      </w:r>
    </w:p>
    <w:p w14:paraId="0B6B8961" w14:textId="347A75E9" w:rsidR="00EB2D76" w:rsidRDefault="00B303A7" w:rsidP="00B53C29">
      <w:pPr>
        <w:pStyle w:val="Subpara1"/>
      </w:pPr>
      <w:r>
        <w:t xml:space="preserve">If the investigation commences and concludes within 60 days and there are no reasonable grounds to believe that a reportable situation has arisen, the investigation is not a reportable situation. </w:t>
      </w:r>
    </w:p>
    <w:p w14:paraId="6F5B6178" w14:textId="29FF4985" w:rsidR="006D0D29" w:rsidRDefault="000D4F63" w:rsidP="00B53C29">
      <w:pPr>
        <w:pStyle w:val="Subpara1"/>
      </w:pPr>
      <w:r>
        <w:t>If an investigation concludes within 60 days that a reportable situation has arisen, you must report to ASIC within 30 calendar days.</w:t>
      </w:r>
    </w:p>
    <w:p w14:paraId="4F500DB3" w14:textId="416B81E8" w:rsidR="00EB2D76" w:rsidRPr="00EB2D76" w:rsidRDefault="006D0D29" w:rsidP="00B53C29">
      <w:pPr>
        <w:pStyle w:val="Subpara1"/>
      </w:pPr>
      <w:r>
        <w:t xml:space="preserve">If an investigation is not concluded within 60 days, it is reportable to ASIC within </w:t>
      </w:r>
      <w:r w:rsidR="004D5675">
        <w:t xml:space="preserve">a further </w:t>
      </w:r>
      <w:r>
        <w:t>30 days regardless of</w:t>
      </w:r>
      <w:r w:rsidR="0099248D">
        <w:t xml:space="preserve"> </w:t>
      </w:r>
      <w:r>
        <w:t>if it later concludes that there was no reportable situation.</w:t>
      </w:r>
    </w:p>
    <w:p w14:paraId="3302BBDD" w14:textId="77777777" w:rsidR="001E6EC0" w:rsidRPr="00807A40" w:rsidRDefault="003E67B0" w:rsidP="00EC6E11">
      <w:pPr>
        <w:pStyle w:val="Heading3"/>
        <w:rPr>
          <w:u w:val="single"/>
        </w:rPr>
      </w:pPr>
      <w:r w:rsidRPr="00807A40">
        <w:t xml:space="preserve">An investigation </w:t>
      </w:r>
      <w:r w:rsidR="00541573" w:rsidRPr="00807A40">
        <w:t>commences when there is action taken</w:t>
      </w:r>
      <w:r w:rsidR="00EC6E11" w:rsidRPr="00011CA4">
        <w:t xml:space="preserve"> to </w:t>
      </w:r>
      <w:r w:rsidR="00781E86">
        <w:t xml:space="preserve">ascertain facts and </w:t>
      </w:r>
      <w:r w:rsidR="00EC6E11" w:rsidRPr="00011CA4">
        <w:t>determine</w:t>
      </w:r>
      <w:r w:rsidR="00EC6E11" w:rsidRPr="00E227E4">
        <w:t xml:space="preserve"> whether a breach has occurred</w:t>
      </w:r>
      <w:r w:rsidR="00721618">
        <w:t xml:space="preserve">. These actions may involve </w:t>
      </w:r>
      <w:r w:rsidR="00721618" w:rsidRPr="00E227E4">
        <w:t>communicat</w:t>
      </w:r>
      <w:r w:rsidR="00ED7EE7">
        <w:t>ing</w:t>
      </w:r>
      <w:r w:rsidR="00EC6E11" w:rsidRPr="00E227E4">
        <w:t xml:space="preserve"> with </w:t>
      </w:r>
      <w:r w:rsidR="00ED7EE7">
        <w:t xml:space="preserve">advisers or staff </w:t>
      </w:r>
      <w:r w:rsidR="00EC6E11" w:rsidRPr="00E227E4">
        <w:t xml:space="preserve">who may have been involved in the </w:t>
      </w:r>
      <w:r w:rsidR="00ED7EE7">
        <w:t>matter</w:t>
      </w:r>
      <w:r w:rsidR="00011CA4">
        <w:t xml:space="preserve">, </w:t>
      </w:r>
      <w:r w:rsidR="00EC6E11" w:rsidRPr="00E227E4">
        <w:t xml:space="preserve">communicating with potentially affected clients, or seeking specialist or technical advice. </w:t>
      </w:r>
      <w:r w:rsidR="00011CA4">
        <w:t>Routine audits or</w:t>
      </w:r>
      <w:r w:rsidR="000A021D">
        <w:t xml:space="preserve"> monitoring is not considered to be the commencement of an investigation. </w:t>
      </w:r>
    </w:p>
    <w:p w14:paraId="597F0A9E" w14:textId="6DB4252A" w:rsidR="00EC6E11" w:rsidRPr="009640B7" w:rsidRDefault="00B75135" w:rsidP="00807A40">
      <w:pPr>
        <w:pStyle w:val="Heading3"/>
        <w:rPr>
          <w:u w:val="single"/>
        </w:rPr>
      </w:pPr>
      <w:r>
        <w:t xml:space="preserve">An investigation should commence </w:t>
      </w:r>
      <w:r w:rsidR="001E6EC0">
        <w:t xml:space="preserve">in a timely manner and </w:t>
      </w:r>
      <w:r>
        <w:t xml:space="preserve">without </w:t>
      </w:r>
      <w:r w:rsidR="001E6EC0">
        <w:t xml:space="preserve">unreasonable delay. </w:t>
      </w:r>
    </w:p>
    <w:p w14:paraId="2188FD25" w14:textId="695E42D3" w:rsidR="00FE0E02" w:rsidRDefault="008405A3" w:rsidP="008405A3">
      <w:pPr>
        <w:pStyle w:val="Heading2"/>
      </w:pPr>
      <w:bookmarkStart w:id="197" w:name="_Toc211349906"/>
      <w:r>
        <w:t>Gross negligence or serious fraud</w:t>
      </w:r>
      <w:bookmarkEnd w:id="197"/>
    </w:p>
    <w:p w14:paraId="246DE1D9" w14:textId="60CA6FBA" w:rsidR="00836698" w:rsidRDefault="006647A2" w:rsidP="00836698">
      <w:pPr>
        <w:pStyle w:val="Heading3"/>
      </w:pPr>
      <w:r>
        <w:t xml:space="preserve">Gross negligence or serious fraud </w:t>
      </w:r>
      <w:r w:rsidR="00F47638">
        <w:t xml:space="preserve">is a serious compliance concern and </w:t>
      </w:r>
      <w:r>
        <w:t xml:space="preserve">has the potential to cause </w:t>
      </w:r>
      <w:r w:rsidR="00A5409F">
        <w:t xml:space="preserve">considerable detriment. It also indicates the </w:t>
      </w:r>
      <w:r w:rsidR="00357C0E">
        <w:t xml:space="preserve">licensee or </w:t>
      </w:r>
      <w:r w:rsidR="00F47638">
        <w:t>representatives’</w:t>
      </w:r>
      <w:r w:rsidR="00357C0E">
        <w:t xml:space="preserve"> character and suitability to provide financial services. It must be reported to ASIC</w:t>
      </w:r>
      <w:r w:rsidR="00F47638">
        <w:t>.</w:t>
      </w:r>
    </w:p>
    <w:p w14:paraId="1AE659DE" w14:textId="77777777" w:rsidR="008B581B" w:rsidRDefault="008B581B" w:rsidP="008B581B">
      <w:pPr>
        <w:pStyle w:val="Heading3"/>
      </w:pPr>
      <w:r>
        <w:t>Conduct may involve dishonest, illegal, deceptive and/or fraudulent misconduct or any misconduct that, if proven, would be likely to result in an instant dismissal or immediate termination; or deliberate non-compliance with financial services laws or gross incompetence or gross negligence.</w:t>
      </w:r>
    </w:p>
    <w:p w14:paraId="65DAE576" w14:textId="7B00622F" w:rsidR="00B20F75" w:rsidRDefault="00B20F75" w:rsidP="00D90232">
      <w:pPr>
        <w:pStyle w:val="Heading2"/>
      </w:pPr>
      <w:bookmarkStart w:id="198" w:name="_Toc210997271"/>
      <w:bookmarkStart w:id="199" w:name="_Toc210997381"/>
      <w:bookmarkStart w:id="200" w:name="_Toc210997561"/>
      <w:bookmarkStart w:id="201" w:name="_Toc211004429"/>
      <w:bookmarkStart w:id="202" w:name="_Toc211004540"/>
      <w:bookmarkStart w:id="203" w:name="_Toc211004651"/>
      <w:bookmarkStart w:id="204" w:name="_Toc211004762"/>
      <w:bookmarkStart w:id="205" w:name="_Toc211005227"/>
      <w:bookmarkStart w:id="206" w:name="_Toc211007629"/>
      <w:bookmarkStart w:id="207" w:name="_Toc211008114"/>
      <w:bookmarkStart w:id="208" w:name="_Toc211008513"/>
      <w:bookmarkStart w:id="209" w:name="_Toc211335580"/>
      <w:bookmarkStart w:id="210" w:name="_Toc211336405"/>
      <w:bookmarkStart w:id="211" w:name="_Toc211336930"/>
      <w:bookmarkStart w:id="212" w:name="_Toc211346690"/>
      <w:bookmarkStart w:id="213" w:name="_Toc211347114"/>
      <w:bookmarkStart w:id="214" w:name="_Toc211347555"/>
      <w:bookmarkStart w:id="215" w:name="_Toc211348478"/>
      <w:bookmarkStart w:id="216" w:name="_Toc211348919"/>
      <w:bookmarkStart w:id="217" w:name="_Toc211349907"/>
      <w:bookmarkStart w:id="218" w:name="_Toc210997272"/>
      <w:bookmarkStart w:id="219" w:name="_Toc210997382"/>
      <w:bookmarkStart w:id="220" w:name="_Toc210997562"/>
      <w:bookmarkStart w:id="221" w:name="_Toc211004430"/>
      <w:bookmarkStart w:id="222" w:name="_Toc211004541"/>
      <w:bookmarkStart w:id="223" w:name="_Toc211004652"/>
      <w:bookmarkStart w:id="224" w:name="_Toc211004763"/>
      <w:bookmarkStart w:id="225" w:name="_Toc211005228"/>
      <w:bookmarkStart w:id="226" w:name="_Toc211007630"/>
      <w:bookmarkStart w:id="227" w:name="_Toc211008115"/>
      <w:bookmarkStart w:id="228" w:name="_Toc211008514"/>
      <w:bookmarkStart w:id="229" w:name="_Toc211335581"/>
      <w:bookmarkStart w:id="230" w:name="_Toc211336406"/>
      <w:bookmarkStart w:id="231" w:name="_Toc211336931"/>
      <w:bookmarkStart w:id="232" w:name="_Toc211346691"/>
      <w:bookmarkStart w:id="233" w:name="_Toc211347115"/>
      <w:bookmarkStart w:id="234" w:name="_Toc211347556"/>
      <w:bookmarkStart w:id="235" w:name="_Toc211348479"/>
      <w:bookmarkStart w:id="236" w:name="_Toc211348920"/>
      <w:bookmarkStart w:id="237" w:name="_Toc211349908"/>
      <w:bookmarkStart w:id="238" w:name="_Toc211349980"/>
      <w:bookmarkStart w:id="239" w:name="_Toc197090151"/>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E227E4">
        <w:t xml:space="preserve">Breaches that are </w:t>
      </w:r>
      <w:r w:rsidR="00C110D0">
        <w:t>e</w:t>
      </w:r>
      <w:r w:rsidRPr="00E227E4">
        <w:t xml:space="preserve">xempt from </w:t>
      </w:r>
      <w:r w:rsidR="00C110D0">
        <w:t>r</w:t>
      </w:r>
      <w:r w:rsidRPr="00E227E4">
        <w:t>eporting</w:t>
      </w:r>
      <w:bookmarkEnd w:id="238"/>
      <w:r w:rsidRPr="00E227E4">
        <w:t xml:space="preserve"> </w:t>
      </w:r>
    </w:p>
    <w:p w14:paraId="77806D77" w14:textId="4514A725" w:rsidR="00871C35" w:rsidRDefault="00323092" w:rsidP="006066B4">
      <w:pPr>
        <w:pStyle w:val="Heading3"/>
      </w:pPr>
      <w:r>
        <w:t xml:space="preserve">Certain reportable situations are exempt from the requirement to notify ASIC. </w:t>
      </w:r>
    </w:p>
    <w:p w14:paraId="5B9683B9" w14:textId="187D3006" w:rsidR="00AB0D5D" w:rsidRPr="00E227E4" w:rsidRDefault="00AB0D5D" w:rsidP="006066B4">
      <w:pPr>
        <w:pStyle w:val="Heading3"/>
      </w:pPr>
      <w:r w:rsidRPr="006066B4">
        <w:t>However, i</w:t>
      </w:r>
      <w:r w:rsidR="00990BD6">
        <w:t>f</w:t>
      </w:r>
      <w:r w:rsidRPr="006066B4">
        <w:t xml:space="preserve"> a</w:t>
      </w:r>
      <w:r w:rsidRPr="00AB0D5D">
        <w:t xml:space="preserve"> breach</w:t>
      </w:r>
      <w:r w:rsidRPr="00E227E4">
        <w:t xml:space="preserve"> is exempt from being deemed reportable, the Licensee must still consider whether the breach is otherwise reportable under any of the other criteria under s912D(4) of the Corporations Act, including if the breach constitutes:</w:t>
      </w:r>
    </w:p>
    <w:p w14:paraId="384842D9" w14:textId="77777777" w:rsidR="00AB0D5D" w:rsidRPr="00E227E4" w:rsidRDefault="00AB0D5D" w:rsidP="006066B4">
      <w:pPr>
        <w:pStyle w:val="Subpara1"/>
      </w:pPr>
      <w:r w:rsidRPr="00E227E4">
        <w:t>A commission of an offence, carrying certain penalties of imprisonment</w:t>
      </w:r>
    </w:p>
    <w:p w14:paraId="47395539" w14:textId="77777777" w:rsidR="00AB0D5D" w:rsidRPr="00E227E4" w:rsidRDefault="00AB0D5D" w:rsidP="006066B4">
      <w:pPr>
        <w:pStyle w:val="Subpara1"/>
      </w:pPr>
      <w:r w:rsidRPr="00E227E4">
        <w:t xml:space="preserve">Involves contravention of misleading or deceptive provisions (other than </w:t>
      </w:r>
      <w:r>
        <w:t xml:space="preserve">where </w:t>
      </w:r>
      <w:r w:rsidRPr="00E227E4">
        <w:t>exempt);</w:t>
      </w:r>
    </w:p>
    <w:p w14:paraId="7D87561A" w14:textId="77777777" w:rsidR="00AB0D5D" w:rsidRDefault="00AB0D5D" w:rsidP="006066B4">
      <w:pPr>
        <w:pStyle w:val="Subpara1"/>
      </w:pPr>
      <w:r w:rsidRPr="00E227E4">
        <w:t>Results or is likely to result in material loss or damage to the client; and</w:t>
      </w:r>
    </w:p>
    <w:p w14:paraId="57A62C71" w14:textId="4BFF20F3" w:rsidR="00AB0D5D" w:rsidRPr="006066B4" w:rsidRDefault="00AB0D5D" w:rsidP="006066B4">
      <w:pPr>
        <w:pStyle w:val="Subpara1"/>
      </w:pPr>
      <w:r w:rsidRPr="006C7A7A">
        <w:lastRenderedPageBreak/>
        <w:t>If none of the above apply consider whether it is significant having regard to the ‘second significance test.</w:t>
      </w:r>
      <w:r>
        <w:t>’</w:t>
      </w:r>
    </w:p>
    <w:tbl>
      <w:tblPr>
        <w:tblStyle w:val="CAWhitepapertable"/>
        <w:tblW w:w="5120" w:type="pct"/>
        <w:tblLook w:val="04A0" w:firstRow="1" w:lastRow="0" w:firstColumn="1" w:lastColumn="0" w:noHBand="0" w:noVBand="1"/>
      </w:tblPr>
      <w:tblGrid>
        <w:gridCol w:w="4333"/>
        <w:gridCol w:w="5762"/>
      </w:tblGrid>
      <w:tr w:rsidR="00A73196" w:rsidRPr="00E227E4" w14:paraId="7BBE3FB4" w14:textId="77777777" w:rsidTr="00606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7C8CCCD" w14:textId="77777777" w:rsidR="00A73196" w:rsidRPr="00E227E4" w:rsidRDefault="00A73196">
            <w:pPr>
              <w:pStyle w:val="Tabletextheading"/>
              <w:rPr>
                <w:rFonts w:cstheme="minorHAnsi"/>
                <w:szCs w:val="20"/>
              </w:rPr>
            </w:pPr>
            <w:r w:rsidRPr="00E227E4">
              <w:rPr>
                <w:rFonts w:cstheme="minorHAnsi"/>
                <w:szCs w:val="20"/>
              </w:rPr>
              <w:t>Exemption</w:t>
            </w:r>
          </w:p>
        </w:tc>
        <w:tc>
          <w:tcPr>
            <w:tcW w:w="0" w:type="pct"/>
          </w:tcPr>
          <w:p w14:paraId="3D658C25" w14:textId="77777777" w:rsidR="00A73196" w:rsidRPr="00E227E4" w:rsidRDefault="00A73196">
            <w:pPr>
              <w:pStyle w:val="Tabletextheading"/>
              <w:cnfStyle w:val="100000000000" w:firstRow="1"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Description</w:t>
            </w:r>
          </w:p>
        </w:tc>
      </w:tr>
      <w:tr w:rsidR="00A73196" w:rsidRPr="00E227E4" w14:paraId="4331E8D7" w14:textId="77777777" w:rsidTr="006066B4">
        <w:tc>
          <w:tcPr>
            <w:cnfStyle w:val="001000000000" w:firstRow="0" w:lastRow="0" w:firstColumn="1" w:lastColumn="0" w:oddVBand="0" w:evenVBand="0" w:oddHBand="0" w:evenHBand="0" w:firstRowFirstColumn="0" w:firstRowLastColumn="0" w:lastRowFirstColumn="0" w:lastRowLastColumn="0"/>
            <w:tcW w:w="0" w:type="pct"/>
          </w:tcPr>
          <w:p w14:paraId="2300519F" w14:textId="05A11BF1" w:rsidR="00A73196" w:rsidRPr="00E227E4" w:rsidRDefault="00CA08FF">
            <w:pPr>
              <w:pStyle w:val="Tablelistbullet"/>
              <w:numPr>
                <w:ilvl w:val="0"/>
                <w:numId w:val="0"/>
              </w:numPr>
              <w:rPr>
                <w:rFonts w:cstheme="minorHAnsi"/>
                <w:szCs w:val="20"/>
              </w:rPr>
            </w:pPr>
            <w:r>
              <w:rPr>
                <w:rFonts w:cstheme="minorHAnsi"/>
                <w:szCs w:val="20"/>
              </w:rPr>
              <w:t>C</w:t>
            </w:r>
            <w:r w:rsidR="00A73196" w:rsidRPr="00E227E4">
              <w:rPr>
                <w:rFonts w:cstheme="minorHAnsi"/>
                <w:szCs w:val="20"/>
              </w:rPr>
              <w:t xml:space="preserve">ertain civil penalty provisions </w:t>
            </w:r>
          </w:p>
          <w:p w14:paraId="5E4817D4" w14:textId="77777777" w:rsidR="00A73196" w:rsidRPr="00E227E4" w:rsidRDefault="00A73196">
            <w:pPr>
              <w:pStyle w:val="Tablelistbullet"/>
              <w:numPr>
                <w:ilvl w:val="0"/>
                <w:numId w:val="0"/>
              </w:numPr>
              <w:rPr>
                <w:rFonts w:cstheme="minorHAnsi"/>
                <w:szCs w:val="20"/>
              </w:rPr>
            </w:pPr>
          </w:p>
          <w:p w14:paraId="64766701" w14:textId="35533BB3" w:rsidR="00A73196" w:rsidRPr="008E193A" w:rsidRDefault="008E193A" w:rsidP="006066B4">
            <w:pPr>
              <w:pStyle w:val="Tablenotesorsource"/>
            </w:pPr>
            <w:r w:rsidRPr="008E193A">
              <w:rPr>
                <w:lang w:val="en-AU"/>
              </w:rPr>
              <w:t>These exemptions are set out in Regulation 7.6.02A(2) of the Corporations Regulations (AFS licensees)</w:t>
            </w:r>
          </w:p>
        </w:tc>
        <w:tc>
          <w:tcPr>
            <w:tcW w:w="0" w:type="pct"/>
          </w:tcPr>
          <w:p w14:paraId="0120A019" w14:textId="0D535B27" w:rsidR="00F133B0" w:rsidRPr="00E227E4" w:rsidRDefault="00A73196" w:rsidP="006066B4">
            <w:pPr>
              <w:pStyle w:val="Tabletext"/>
              <w:cnfStyle w:val="000000000000" w:firstRow="0" w:lastRow="0" w:firstColumn="0" w:lastColumn="0" w:oddVBand="0" w:evenVBand="0" w:oddHBand="0" w:evenHBand="0" w:firstRowFirstColumn="0" w:firstRowLastColumn="0" w:lastRowFirstColumn="0" w:lastRowLastColumn="0"/>
              <w:rPr>
                <w:lang w:val="en-AU"/>
              </w:rPr>
            </w:pPr>
            <w:r w:rsidRPr="006066B4">
              <w:t xml:space="preserve">Certain civil penalty provisions </w:t>
            </w:r>
            <w:r w:rsidR="002C58B3" w:rsidRPr="006066B4">
              <w:t>are specifically</w:t>
            </w:r>
            <w:r w:rsidR="002D6D89" w:rsidRPr="006066B4">
              <w:t xml:space="preserve"> </w:t>
            </w:r>
            <w:r w:rsidRPr="006066B4">
              <w:t>exempt</w:t>
            </w:r>
            <w:r w:rsidRPr="00E227E4">
              <w:rPr>
                <w:lang w:val="en-AU"/>
              </w:rPr>
              <w:t xml:space="preserve"> from reporting, if the sole reason for reporting is due to the breach being a contravention of a civil penalty provision. </w:t>
            </w:r>
          </w:p>
          <w:p w14:paraId="2D5A7A90" w14:textId="182FE994" w:rsidR="00A73196" w:rsidRPr="00E227E4" w:rsidRDefault="00A73196" w:rsidP="005220D7">
            <w:pPr>
              <w:pStyle w:val="Tabletext"/>
              <w:cnfStyle w:val="000000000000" w:firstRow="0" w:lastRow="0" w:firstColumn="0" w:lastColumn="0" w:oddVBand="0" w:evenVBand="0" w:oddHBand="0" w:evenHBand="0" w:firstRowFirstColumn="0" w:firstRowLastColumn="0" w:lastRowFirstColumn="0" w:lastRowLastColumn="0"/>
              <w:rPr>
                <w:lang w:val="en-AU"/>
              </w:rPr>
            </w:pPr>
            <w:r w:rsidRPr="00E227E4">
              <w:rPr>
                <w:lang w:val="en-AU"/>
              </w:rPr>
              <w:t>Relevant examples include:</w:t>
            </w:r>
          </w:p>
          <w:p w14:paraId="0126E84B" w14:textId="43049DF3" w:rsidR="00A73196" w:rsidRPr="00E227E4" w:rsidRDefault="00A73196" w:rsidP="002E527B">
            <w:pPr>
              <w:pStyle w:val="Tablelistbullet"/>
              <w:cnfStyle w:val="000000000000" w:firstRow="0" w:lastRow="0" w:firstColumn="0" w:lastColumn="0" w:oddVBand="0" w:evenVBand="0" w:oddHBand="0" w:evenHBand="0" w:firstRowFirstColumn="0" w:firstRowLastColumn="0" w:lastRowFirstColumn="0" w:lastRowLastColumn="0"/>
            </w:pPr>
            <w:r w:rsidRPr="00E227E4">
              <w:t xml:space="preserve">Adviser not meeting CPD requirements (general) or tax (financial) advice CPD requirements </w:t>
            </w:r>
            <w:r w:rsidRPr="001A0EA8">
              <w:rPr>
                <w:sz w:val="16"/>
                <w:szCs w:val="16"/>
              </w:rPr>
              <w:t>(Corporations Act, ss 921BA, 921BB).</w:t>
            </w:r>
            <w:r w:rsidRPr="00E227E4">
              <w:t xml:space="preserve"> Note, however, an AFSL must lodge a separate notice with ASIC regarding non-compliance</w:t>
            </w:r>
          </w:p>
          <w:p w14:paraId="4CAA2D2F" w14:textId="70A727FA" w:rsidR="00A73196" w:rsidRPr="00E227E4" w:rsidRDefault="00A73196" w:rsidP="005220D7">
            <w:pPr>
              <w:pStyle w:val="Tablelistbullet"/>
              <w:cnfStyle w:val="000000000000" w:firstRow="0" w:lastRow="0" w:firstColumn="0" w:lastColumn="0" w:oddVBand="0" w:evenVBand="0" w:oddHBand="0" w:evenHBand="0" w:firstRowFirstColumn="0" w:firstRowLastColumn="0" w:lastRowFirstColumn="0" w:lastRowLastColumn="0"/>
            </w:pPr>
            <w:r w:rsidRPr="00E227E4">
              <w:t>Adviser not complying with Code of Ethics</w:t>
            </w:r>
            <w:r w:rsidR="007E422F">
              <w:t xml:space="preserve"> </w:t>
            </w:r>
            <w:r w:rsidRPr="001E2AD6">
              <w:rPr>
                <w:sz w:val="16"/>
                <w:szCs w:val="16"/>
              </w:rPr>
              <w:t>(Corporations Act s921E)</w:t>
            </w:r>
          </w:p>
          <w:p w14:paraId="4538ED62" w14:textId="77777777" w:rsidR="007A3524" w:rsidRDefault="00A73196" w:rsidP="005220D7">
            <w:pPr>
              <w:pStyle w:val="Tablelistbullet"/>
              <w:cnfStyle w:val="000000000000" w:firstRow="0" w:lastRow="0" w:firstColumn="0" w:lastColumn="0" w:oddVBand="0" w:evenVBand="0" w:oddHBand="0" w:evenHBand="0" w:firstRowFirstColumn="0" w:firstRowLastColumn="0" w:lastRowFirstColumn="0" w:lastRowLastColumn="0"/>
            </w:pPr>
            <w:r w:rsidRPr="00E227E4">
              <w:t xml:space="preserve">Failure to comply with obligations to notify ASIC </w:t>
            </w:r>
            <w:r w:rsidRPr="007A3524">
              <w:rPr>
                <w:sz w:val="16"/>
                <w:szCs w:val="16"/>
              </w:rPr>
              <w:t>(Corporations Act s922M)</w:t>
            </w:r>
            <w:r w:rsidRPr="00E227E4">
              <w:t xml:space="preserve"> </w:t>
            </w:r>
          </w:p>
          <w:p w14:paraId="37944DCB" w14:textId="4A33EDDC" w:rsidR="00A73196" w:rsidRPr="00E227E4" w:rsidRDefault="00A73196" w:rsidP="005220D7">
            <w:pPr>
              <w:pStyle w:val="Tablelistbullet"/>
              <w:numPr>
                <w:ilvl w:val="1"/>
                <w:numId w:val="6"/>
              </w:numPr>
              <w:cnfStyle w:val="000000000000" w:firstRow="0" w:lastRow="0" w:firstColumn="0" w:lastColumn="0" w:oddVBand="0" w:evenVBand="0" w:oddHBand="0" w:evenHBand="0" w:firstRowFirstColumn="0" w:firstRowLastColumn="0" w:lastRowFirstColumn="0" w:lastRowLastColumn="0"/>
            </w:pPr>
            <w:r w:rsidRPr="00E227E4">
              <w:t xml:space="preserve">includes notification about </w:t>
            </w:r>
            <w:r w:rsidR="00877B8A">
              <w:t xml:space="preserve">&amp; changes to </w:t>
            </w:r>
            <w:r w:rsidR="00CC17A1">
              <w:t>advisers</w:t>
            </w:r>
            <w:r w:rsidRPr="00E227E4">
              <w:t>, CPD year, non-compliance of adviser not completing CPD, change of control of the AFSL entity.</w:t>
            </w:r>
          </w:p>
          <w:p w14:paraId="4F7936CB" w14:textId="37DD0D00" w:rsidR="00A73196" w:rsidRPr="00E227E4" w:rsidRDefault="00A73196" w:rsidP="005220D7">
            <w:pPr>
              <w:pStyle w:val="Tablelistbullet"/>
              <w:cnfStyle w:val="000000000000" w:firstRow="0" w:lastRow="0" w:firstColumn="0" w:lastColumn="0" w:oddVBand="0" w:evenVBand="0" w:oddHBand="0" w:evenHBand="0" w:firstRowFirstColumn="0" w:firstRowLastColumn="0" w:lastRowFirstColumn="0" w:lastRowLastColumn="0"/>
            </w:pPr>
            <w:r w:rsidRPr="00E227E4">
              <w:t xml:space="preserve">Failure to give an FSG or make Website Disclosure Information available, readily accessible or </w:t>
            </w:r>
            <w:r w:rsidR="00D25DF6" w:rsidRPr="00E227E4">
              <w:t>up to date</w:t>
            </w:r>
            <w:r w:rsidRPr="00E227E4">
              <w:t xml:space="preserve"> </w:t>
            </w:r>
            <w:r w:rsidRPr="007A3524">
              <w:rPr>
                <w:sz w:val="16"/>
                <w:szCs w:val="16"/>
              </w:rPr>
              <w:t>(Corporations Act, ss 941A-941B, 943G-943L)</w:t>
            </w:r>
          </w:p>
          <w:p w14:paraId="5E380647" w14:textId="53817C56" w:rsidR="00712B9C" w:rsidRPr="00E227E4" w:rsidRDefault="00A73196" w:rsidP="005220D7">
            <w:pPr>
              <w:pStyle w:val="Tablelistbullet"/>
              <w:cnfStyle w:val="000000000000" w:firstRow="0" w:lastRow="0" w:firstColumn="0" w:lastColumn="0" w:oddVBand="0" w:evenVBand="0" w:oddHBand="0" w:evenHBand="0" w:firstRowFirstColumn="0" w:firstRowLastColumn="0" w:lastRowFirstColumn="0" w:lastRowLastColumn="0"/>
            </w:pPr>
            <w:r w:rsidRPr="00E227E4">
              <w:t xml:space="preserve">Arranging or accepting fees without consent </w:t>
            </w:r>
            <w:r w:rsidRPr="001A0EA8">
              <w:rPr>
                <w:sz w:val="16"/>
                <w:szCs w:val="16"/>
              </w:rPr>
              <w:t>(Corporations Act, s962S)</w:t>
            </w:r>
            <w:r w:rsidR="001A0EA8" w:rsidRPr="001A0EA8">
              <w:rPr>
                <w:sz w:val="16"/>
                <w:szCs w:val="16"/>
              </w:rPr>
              <w:t>.</w:t>
            </w:r>
            <w:r w:rsidR="001A0EA8">
              <w:rPr>
                <w:sz w:val="16"/>
                <w:szCs w:val="16"/>
              </w:rPr>
              <w:t xml:space="preserve"> </w:t>
            </w:r>
            <w:r w:rsidR="00BF4BA8" w:rsidRPr="005220D7">
              <w:t xml:space="preserve">Note, however, charging on ongoing fee after </w:t>
            </w:r>
            <w:r w:rsidR="00C6280C" w:rsidRPr="005220D7">
              <w:t>an</w:t>
            </w:r>
            <w:r w:rsidR="00BF4BA8" w:rsidRPr="005220D7">
              <w:t xml:space="preserve"> </w:t>
            </w:r>
            <w:r w:rsidR="00076316" w:rsidRPr="005220D7">
              <w:t>ongoing fee arrangement ceases is reportable</w:t>
            </w:r>
            <w:r w:rsidR="00076316" w:rsidRPr="001A0EA8">
              <w:rPr>
                <w:sz w:val="16"/>
                <w:szCs w:val="16"/>
              </w:rPr>
              <w:t xml:space="preserve"> (Corporations Act </w:t>
            </w:r>
            <w:r w:rsidR="007C3E13" w:rsidRPr="001A0EA8">
              <w:rPr>
                <w:sz w:val="16"/>
                <w:szCs w:val="16"/>
              </w:rPr>
              <w:t>s962Z)</w:t>
            </w:r>
          </w:p>
          <w:p w14:paraId="128A6A05" w14:textId="4CD0CD47" w:rsidR="00A73196" w:rsidRPr="00E227E4" w:rsidRDefault="00A73196" w:rsidP="005220D7">
            <w:pPr>
              <w:pStyle w:val="Tablelistbullet"/>
              <w:cnfStyle w:val="000000000000" w:firstRow="0" w:lastRow="0" w:firstColumn="0" w:lastColumn="0" w:oddVBand="0" w:evenVBand="0" w:oddHBand="0" w:evenHBand="0" w:firstRowFirstColumn="0" w:firstRowLastColumn="0" w:lastRowFirstColumn="0" w:lastRowLastColumn="0"/>
            </w:pPr>
            <w:r w:rsidRPr="00E227E4">
              <w:t xml:space="preserve">Obligation to give a PDS where personal advice provided </w:t>
            </w:r>
            <w:r w:rsidRPr="007A3524">
              <w:rPr>
                <w:sz w:val="16"/>
                <w:szCs w:val="16"/>
              </w:rPr>
              <w:t>(Corporations Act, s1012A</w:t>
            </w:r>
            <w:r w:rsidR="00D820F4">
              <w:rPr>
                <w:sz w:val="16"/>
                <w:szCs w:val="16"/>
              </w:rPr>
              <w:t>-1012C</w:t>
            </w:r>
            <w:r w:rsidRPr="007A3524">
              <w:rPr>
                <w:sz w:val="16"/>
                <w:szCs w:val="16"/>
              </w:rPr>
              <w:t>)</w:t>
            </w:r>
          </w:p>
          <w:p w14:paraId="4F31C3D0" w14:textId="0C90B9A8" w:rsidR="007A3524" w:rsidRPr="006C7A7A" w:rsidRDefault="00A73196" w:rsidP="002E527B">
            <w:pPr>
              <w:pStyle w:val="Tablelistbullet"/>
              <w:cnfStyle w:val="000000000000" w:firstRow="0" w:lastRow="0" w:firstColumn="0" w:lastColumn="0" w:oddVBand="0" w:evenVBand="0" w:oddHBand="0" w:evenHBand="0" w:firstRowFirstColumn="0" w:firstRowLastColumn="0" w:lastRowFirstColumn="0" w:lastRowLastColumn="0"/>
              <w:rPr>
                <w:rFonts w:cstheme="minorHAnsi"/>
                <w:sz w:val="16"/>
                <w:szCs w:val="16"/>
                <w:lang w:val="en-AU"/>
              </w:rPr>
            </w:pPr>
            <w:r w:rsidRPr="00E227E4">
              <w:t xml:space="preserve">AFSL failing to ensure authorised representatives give disclosure documents or statements </w:t>
            </w:r>
            <w:r w:rsidRPr="00516192">
              <w:rPr>
                <w:sz w:val="16"/>
                <w:szCs w:val="16"/>
              </w:rPr>
              <w:t>(Corporations Act, s1021G)</w:t>
            </w:r>
            <w:r w:rsidR="007A3524" w:rsidRPr="006C7A7A">
              <w:rPr>
                <w:rFonts w:cstheme="minorHAnsi"/>
                <w:sz w:val="16"/>
                <w:szCs w:val="16"/>
                <w:lang w:val="en-AU"/>
              </w:rPr>
              <w:t xml:space="preserve"> </w:t>
            </w:r>
          </w:p>
        </w:tc>
      </w:tr>
      <w:tr w:rsidR="00516192" w:rsidRPr="00E227E4" w14:paraId="7B55D87F" w14:textId="77777777" w:rsidTr="006066B4">
        <w:tc>
          <w:tcPr>
            <w:cnfStyle w:val="001000000000" w:firstRow="0" w:lastRow="0" w:firstColumn="1" w:lastColumn="0" w:oddVBand="0" w:evenVBand="0" w:oddHBand="0" w:evenHBand="0" w:firstRowFirstColumn="0" w:firstRowLastColumn="0" w:lastRowFirstColumn="0" w:lastRowLastColumn="0"/>
            <w:tcW w:w="0" w:type="pct"/>
          </w:tcPr>
          <w:p w14:paraId="3B475387" w14:textId="3C5A24DC" w:rsidR="00516192" w:rsidRDefault="00C0450C">
            <w:pPr>
              <w:pStyle w:val="Tablelistbullet"/>
              <w:numPr>
                <w:ilvl w:val="0"/>
                <w:numId w:val="0"/>
              </w:numPr>
              <w:rPr>
                <w:rFonts w:cstheme="minorHAnsi"/>
                <w:szCs w:val="20"/>
                <w:lang w:val="en-AU"/>
              </w:rPr>
            </w:pPr>
            <w:r w:rsidRPr="00E227E4">
              <w:rPr>
                <w:rFonts w:cstheme="minorHAnsi"/>
                <w:szCs w:val="20"/>
                <w:lang w:val="en-AU"/>
              </w:rPr>
              <w:t>Internal Dispute Resolution</w:t>
            </w:r>
          </w:p>
          <w:p w14:paraId="4B76FECA" w14:textId="752DD6C8" w:rsidR="00B515FD" w:rsidRPr="00E227E4" w:rsidRDefault="00B515FD" w:rsidP="002E527B">
            <w:pPr>
              <w:pStyle w:val="Tablenotesorsource"/>
              <w:rPr>
                <w:szCs w:val="20"/>
              </w:rPr>
            </w:pPr>
            <w:r w:rsidRPr="007A3524">
              <w:rPr>
                <w:lang w:val="en-AU"/>
              </w:rPr>
              <w:t xml:space="preserve">Relief is granted under s6 of ASIC </w:t>
            </w:r>
            <w:r w:rsidRPr="00B774C1">
              <w:rPr>
                <w:lang w:val="en-AU"/>
              </w:rPr>
              <w:t>Instrument 2021/716</w:t>
            </w:r>
          </w:p>
        </w:tc>
        <w:tc>
          <w:tcPr>
            <w:tcW w:w="0" w:type="pct"/>
          </w:tcPr>
          <w:p w14:paraId="2F195EC8" w14:textId="61F3A898" w:rsidR="00516192" w:rsidRPr="00516192" w:rsidRDefault="00B515FD" w:rsidP="007A71A0">
            <w:pPr>
              <w:pStyle w:val="Tabletext"/>
              <w:cnfStyle w:val="000000000000" w:firstRow="0" w:lastRow="0" w:firstColumn="0" w:lastColumn="0" w:oddVBand="0" w:evenVBand="0" w:oddHBand="0" w:evenHBand="0" w:firstRowFirstColumn="0" w:firstRowLastColumn="0" w:lastRowFirstColumn="0" w:lastRowLastColumn="0"/>
            </w:pPr>
            <w:r w:rsidRPr="00E227E4">
              <w:rPr>
                <w:rFonts w:cstheme="minorHAnsi"/>
                <w:szCs w:val="20"/>
              </w:rPr>
              <w:t>The enforceable paragraphs</w:t>
            </w:r>
            <w:r w:rsidRPr="00E227E4">
              <w:rPr>
                <w:rFonts w:cstheme="minorHAnsi"/>
                <w:szCs w:val="20"/>
                <w:lang w:val="en-AU"/>
              </w:rPr>
              <w:t xml:space="preserve"> of RG 271 </w:t>
            </w:r>
            <w:r w:rsidR="00516192" w:rsidRPr="00E227E4">
              <w:rPr>
                <w:rFonts w:cstheme="minorHAnsi"/>
                <w:szCs w:val="20"/>
                <w:lang w:val="en-AU"/>
              </w:rPr>
              <w:t xml:space="preserve">that are civil penalty provisions are exempt if they are single instances. </w:t>
            </w:r>
          </w:p>
        </w:tc>
      </w:tr>
      <w:tr w:rsidR="00514394" w:rsidRPr="00E227E4" w14:paraId="12EDA2D5" w14:textId="77777777" w:rsidTr="006066B4">
        <w:tc>
          <w:tcPr>
            <w:cnfStyle w:val="001000000000" w:firstRow="0" w:lastRow="0" w:firstColumn="1" w:lastColumn="0" w:oddVBand="0" w:evenVBand="0" w:oddHBand="0" w:evenHBand="0" w:firstRowFirstColumn="0" w:firstRowLastColumn="0" w:lastRowFirstColumn="0" w:lastRowLastColumn="0"/>
            <w:tcW w:w="0" w:type="pct"/>
          </w:tcPr>
          <w:p w14:paraId="70029A16" w14:textId="77777777" w:rsidR="00514394" w:rsidRDefault="00514394">
            <w:pPr>
              <w:pStyle w:val="Tablelistbullet"/>
              <w:numPr>
                <w:ilvl w:val="0"/>
                <w:numId w:val="0"/>
              </w:numPr>
              <w:rPr>
                <w:rFonts w:cstheme="minorHAnsi"/>
                <w:szCs w:val="20"/>
              </w:rPr>
            </w:pPr>
            <w:r w:rsidRPr="00A7516F">
              <w:rPr>
                <w:rFonts w:cstheme="minorHAnsi"/>
                <w:szCs w:val="20"/>
              </w:rPr>
              <w:t>Misleading and Deceptive Conduct Breaches</w:t>
            </w:r>
          </w:p>
          <w:p w14:paraId="1D2D6B1F" w14:textId="77777777" w:rsidR="00523242" w:rsidRDefault="00523242">
            <w:pPr>
              <w:pStyle w:val="Tablelistbullet"/>
              <w:numPr>
                <w:ilvl w:val="0"/>
                <w:numId w:val="0"/>
              </w:numPr>
              <w:rPr>
                <w:rFonts w:cstheme="minorHAnsi"/>
                <w:szCs w:val="20"/>
              </w:rPr>
            </w:pPr>
          </w:p>
          <w:p w14:paraId="63A6B953" w14:textId="727355EE" w:rsidR="00523242" w:rsidRPr="0048486D" w:rsidRDefault="00523242" w:rsidP="002E527B">
            <w:pPr>
              <w:pStyle w:val="Tablenotesorsource"/>
              <w:rPr>
                <w:szCs w:val="20"/>
              </w:rPr>
            </w:pPr>
            <w:r w:rsidRPr="0048486D">
              <w:t>Relief is provided under ASIC Corporations and Credit (Breach Reporting—Reportable Situations) Instrument 2024/620)</w:t>
            </w:r>
            <w:r w:rsidRPr="0048486D">
              <w:rPr>
                <w:lang w:val="en-AU"/>
              </w:rPr>
              <w:t xml:space="preserve"> for certain misleading and deceptive breaches under s912D(4)(b) &amp; s50(4)(b) of the Corporations Act and s12DB of the ASIC Act</w:t>
            </w:r>
          </w:p>
        </w:tc>
        <w:tc>
          <w:tcPr>
            <w:tcW w:w="0" w:type="pct"/>
          </w:tcPr>
          <w:p w14:paraId="418C7EED" w14:textId="4BB048C6" w:rsidR="00514394" w:rsidRPr="00B774C1" w:rsidRDefault="00514394" w:rsidP="00B21081">
            <w:pPr>
              <w:pStyle w:val="Tabletext"/>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B774C1">
              <w:rPr>
                <w:rFonts w:cstheme="minorHAnsi"/>
                <w:szCs w:val="20"/>
                <w:lang w:val="en-AU"/>
              </w:rPr>
              <w:t>Certain misleading and deceptive conduct breac</w:t>
            </w:r>
            <w:r w:rsidR="005E0B1F">
              <w:rPr>
                <w:rFonts w:cstheme="minorHAnsi"/>
                <w:szCs w:val="20"/>
                <w:lang w:val="en-AU"/>
              </w:rPr>
              <w:t xml:space="preserve">hes, under </w:t>
            </w:r>
            <w:r w:rsidR="00BC6091">
              <w:rPr>
                <w:rFonts w:cstheme="minorHAnsi"/>
                <w:szCs w:val="20"/>
                <w:lang w:val="en-AU"/>
              </w:rPr>
              <w:t xml:space="preserve">subsection </w:t>
            </w:r>
            <w:r w:rsidR="005E0B1F">
              <w:rPr>
                <w:rFonts w:cstheme="minorHAnsi"/>
                <w:szCs w:val="20"/>
                <w:lang w:val="en-AU"/>
              </w:rPr>
              <w:t xml:space="preserve">1041H(1) of the Corporations Act or </w:t>
            </w:r>
            <w:r w:rsidR="00BC6091">
              <w:rPr>
                <w:rFonts w:cstheme="minorHAnsi"/>
                <w:szCs w:val="20"/>
                <w:lang w:val="en-AU"/>
              </w:rPr>
              <w:t>12DA(1) of the ASIC Act</w:t>
            </w:r>
            <w:r w:rsidR="00000ABA">
              <w:rPr>
                <w:rFonts w:cstheme="minorHAnsi"/>
                <w:szCs w:val="20"/>
                <w:lang w:val="en-AU"/>
              </w:rPr>
              <w:t xml:space="preserve"> are exempt</w:t>
            </w:r>
            <w:r w:rsidR="008F372B">
              <w:rPr>
                <w:rFonts w:cstheme="minorHAnsi"/>
                <w:szCs w:val="20"/>
                <w:lang w:val="en-AU"/>
              </w:rPr>
              <w:t>.</w:t>
            </w:r>
          </w:p>
          <w:p w14:paraId="14F19AF3" w14:textId="24B5F7BD" w:rsidR="000F3C3E" w:rsidRDefault="00000ABA" w:rsidP="00011170">
            <w:pPr>
              <w:pStyle w:val="Tabletext"/>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Pr>
                <w:rFonts w:cstheme="minorHAnsi"/>
                <w:szCs w:val="20"/>
                <w:lang w:val="en-AU"/>
              </w:rPr>
              <w:t>C</w:t>
            </w:r>
            <w:r w:rsidR="00514394" w:rsidRPr="00B774C1">
              <w:rPr>
                <w:rFonts w:cstheme="minorHAnsi"/>
                <w:szCs w:val="20"/>
                <w:lang w:val="en-AU"/>
              </w:rPr>
              <w:t xml:space="preserve">ertain conditions must be met: </w:t>
            </w:r>
          </w:p>
          <w:p w14:paraId="7AF37666" w14:textId="47588D37" w:rsidR="00011170" w:rsidRDefault="00514394" w:rsidP="002E527B">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B774C1">
              <w:rPr>
                <w:lang w:val="en-AU"/>
              </w:rPr>
              <w:t xml:space="preserve">the underlying circumstances in relation to the breach must </w:t>
            </w:r>
            <w:r w:rsidR="001D13DB">
              <w:rPr>
                <w:lang w:val="en-AU"/>
              </w:rPr>
              <w:t>only give</w:t>
            </w:r>
            <w:r w:rsidRPr="00B774C1">
              <w:rPr>
                <w:lang w:val="en-AU"/>
              </w:rPr>
              <w:t xml:space="preserve"> rise, to a </w:t>
            </w:r>
            <w:r w:rsidRPr="00B774C1">
              <w:rPr>
                <w:u w:val="single"/>
                <w:lang w:val="en-AU"/>
              </w:rPr>
              <w:t>single reportable situation</w:t>
            </w:r>
            <w:r w:rsidRPr="00B774C1">
              <w:rPr>
                <w:lang w:val="en-AU"/>
              </w:rPr>
              <w:t xml:space="preserve">; </w:t>
            </w:r>
          </w:p>
          <w:p w14:paraId="1EB2B4BE" w14:textId="05BF2C22" w:rsidR="00011170" w:rsidRDefault="00514394" w:rsidP="002E527B">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011170">
              <w:rPr>
                <w:lang w:val="en-AU"/>
              </w:rPr>
              <w:t xml:space="preserve">the relevant breach must </w:t>
            </w:r>
            <w:r w:rsidRPr="00011170">
              <w:rPr>
                <w:u w:val="single"/>
                <w:lang w:val="en-AU"/>
              </w:rPr>
              <w:t>only impact one person</w:t>
            </w:r>
            <w:r w:rsidRPr="00011170">
              <w:rPr>
                <w:lang w:val="en-AU"/>
              </w:rPr>
              <w:t xml:space="preserve"> OR, if the breach relates to a financial product, jointly held, impact only those consumers; and </w:t>
            </w:r>
          </w:p>
          <w:p w14:paraId="0E209480" w14:textId="30D962DE" w:rsidR="00514394" w:rsidRPr="00011170" w:rsidRDefault="00514394" w:rsidP="002E527B">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011170">
              <w:rPr>
                <w:lang w:val="en-AU"/>
              </w:rPr>
              <w:t xml:space="preserve">the relevant breach must </w:t>
            </w:r>
            <w:r w:rsidRPr="00011170">
              <w:rPr>
                <w:u w:val="single"/>
                <w:lang w:val="en-AU"/>
              </w:rPr>
              <w:t>not result in</w:t>
            </w:r>
            <w:r w:rsidRPr="00011170">
              <w:rPr>
                <w:lang w:val="en-AU"/>
              </w:rPr>
              <w:t xml:space="preserve">, and be unlikely to result in, </w:t>
            </w:r>
            <w:r w:rsidRPr="00011170">
              <w:rPr>
                <w:u w:val="single"/>
                <w:lang w:val="en-AU"/>
              </w:rPr>
              <w:t>any financial loss or damage</w:t>
            </w:r>
            <w:r w:rsidRPr="00011170">
              <w:rPr>
                <w:lang w:val="en-AU"/>
              </w:rPr>
              <w:t xml:space="preserve"> to any person (regardless of whether that loss or damage has been, or will or may be, remediated). </w:t>
            </w:r>
          </w:p>
        </w:tc>
      </w:tr>
      <w:tr w:rsidR="005D33F1" w:rsidRPr="00E227E4" w14:paraId="3B229B4A" w14:textId="77777777" w:rsidTr="006066B4">
        <w:tc>
          <w:tcPr>
            <w:cnfStyle w:val="001000000000" w:firstRow="0" w:lastRow="0" w:firstColumn="1" w:lastColumn="0" w:oddVBand="0" w:evenVBand="0" w:oddHBand="0" w:evenHBand="0" w:firstRowFirstColumn="0" w:firstRowLastColumn="0" w:lastRowFirstColumn="0" w:lastRowLastColumn="0"/>
            <w:tcW w:w="0" w:type="pct"/>
          </w:tcPr>
          <w:p w14:paraId="34F7CD77" w14:textId="0FEBFB58" w:rsidR="005D33F1" w:rsidRPr="00F17BD5" w:rsidRDefault="0048486D">
            <w:pPr>
              <w:pStyle w:val="Tablelistbullet"/>
              <w:numPr>
                <w:ilvl w:val="0"/>
                <w:numId w:val="0"/>
              </w:numPr>
              <w:rPr>
                <w:rFonts w:cstheme="minorHAnsi"/>
                <w:szCs w:val="20"/>
              </w:rPr>
            </w:pPr>
            <w:r w:rsidRPr="00F17BD5">
              <w:rPr>
                <w:rFonts w:cstheme="minorHAnsi"/>
                <w:szCs w:val="20"/>
              </w:rPr>
              <w:t>Further Relief of</w:t>
            </w:r>
            <w:r w:rsidR="00272E42" w:rsidRPr="00F17BD5">
              <w:rPr>
                <w:rFonts w:cstheme="minorHAnsi"/>
                <w:szCs w:val="20"/>
              </w:rPr>
              <w:t xml:space="preserve"> Civil Penalty Provisions &amp; Misleading and Deceptive Conduct </w:t>
            </w:r>
          </w:p>
          <w:p w14:paraId="7C748A99" w14:textId="77777777" w:rsidR="0048486D" w:rsidRPr="00F17BD5" w:rsidRDefault="0048486D">
            <w:pPr>
              <w:pStyle w:val="Tablelistbullet"/>
              <w:numPr>
                <w:ilvl w:val="0"/>
                <w:numId w:val="0"/>
              </w:numPr>
              <w:rPr>
                <w:rFonts w:cstheme="minorHAnsi"/>
                <w:szCs w:val="20"/>
              </w:rPr>
            </w:pPr>
          </w:p>
          <w:p w14:paraId="612A76D1" w14:textId="48B73D13" w:rsidR="0048486D" w:rsidRPr="00F17BD5" w:rsidRDefault="0048486D" w:rsidP="002E527B">
            <w:pPr>
              <w:pStyle w:val="Tablenotesorsource"/>
            </w:pPr>
            <w:r w:rsidRPr="00F17BD5">
              <w:lastRenderedPageBreak/>
              <w:t>ASIC Corporations and Credit (Amendment) Instrument 2025/289 amended Relief is provided under ASIC Corporations and Credit (Breach Reporting—Reportable Situations) Instrument 2024/620 to allow for further relief to MDC provisions and CPPs</w:t>
            </w:r>
          </w:p>
        </w:tc>
        <w:tc>
          <w:tcPr>
            <w:tcW w:w="0" w:type="pct"/>
          </w:tcPr>
          <w:p w14:paraId="082C594C" w14:textId="1F61C7EA" w:rsidR="009209F9" w:rsidRPr="00F17BD5" w:rsidRDefault="00127BB4" w:rsidP="00011170">
            <w:pPr>
              <w:pStyle w:val="Tabletext"/>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F17BD5">
              <w:rPr>
                <w:rFonts w:cstheme="minorHAnsi"/>
                <w:szCs w:val="20"/>
                <w:lang w:val="en-AU"/>
              </w:rPr>
              <w:lastRenderedPageBreak/>
              <w:t>ASIC has</w:t>
            </w:r>
            <w:r w:rsidR="00DA6661" w:rsidRPr="00F17BD5">
              <w:rPr>
                <w:rFonts w:cstheme="minorHAnsi"/>
                <w:szCs w:val="20"/>
                <w:lang w:val="en-AU"/>
              </w:rPr>
              <w:t xml:space="preserve"> also</w:t>
            </w:r>
            <w:r w:rsidRPr="00F17BD5">
              <w:rPr>
                <w:rFonts w:cstheme="minorHAnsi"/>
                <w:szCs w:val="20"/>
                <w:lang w:val="en-AU"/>
              </w:rPr>
              <w:t xml:space="preserve"> provided</w:t>
            </w:r>
            <w:r w:rsidR="00E3509B" w:rsidRPr="00F17BD5">
              <w:rPr>
                <w:rFonts w:cstheme="minorHAnsi"/>
                <w:szCs w:val="20"/>
                <w:lang w:val="en-AU"/>
              </w:rPr>
              <w:t xml:space="preserve"> further</w:t>
            </w:r>
            <w:r w:rsidRPr="00F17BD5">
              <w:rPr>
                <w:rFonts w:cstheme="minorHAnsi"/>
                <w:szCs w:val="20"/>
                <w:lang w:val="en-AU"/>
              </w:rPr>
              <w:t xml:space="preserve"> targeted relief from </w:t>
            </w:r>
            <w:r w:rsidR="00685F22" w:rsidRPr="00F17BD5">
              <w:rPr>
                <w:rFonts w:cstheme="minorHAnsi"/>
                <w:szCs w:val="20"/>
                <w:lang w:val="en-AU"/>
              </w:rPr>
              <w:t xml:space="preserve">certain breaches of misleading </w:t>
            </w:r>
            <w:r w:rsidR="009243F0" w:rsidRPr="00F17BD5">
              <w:rPr>
                <w:rFonts w:cstheme="minorHAnsi"/>
                <w:szCs w:val="20"/>
                <w:lang w:val="en-AU"/>
              </w:rPr>
              <w:t>&amp;</w:t>
            </w:r>
            <w:r w:rsidR="00685F22" w:rsidRPr="00F17BD5">
              <w:rPr>
                <w:rFonts w:cstheme="minorHAnsi"/>
                <w:szCs w:val="20"/>
                <w:lang w:val="en-AU"/>
              </w:rPr>
              <w:t xml:space="preserve"> </w:t>
            </w:r>
            <w:r w:rsidR="001816DA" w:rsidRPr="00F17BD5">
              <w:rPr>
                <w:rFonts w:cstheme="minorHAnsi"/>
                <w:szCs w:val="20"/>
                <w:lang w:val="en-AU"/>
              </w:rPr>
              <w:t xml:space="preserve">deceptive conduct </w:t>
            </w:r>
            <w:r w:rsidR="009243F0" w:rsidRPr="00F17BD5">
              <w:rPr>
                <w:rFonts w:cstheme="minorHAnsi"/>
                <w:szCs w:val="20"/>
                <w:lang w:val="en-AU"/>
              </w:rPr>
              <w:t>and</w:t>
            </w:r>
            <w:r w:rsidR="001816DA" w:rsidRPr="00F17BD5">
              <w:rPr>
                <w:rFonts w:cstheme="minorHAnsi"/>
                <w:szCs w:val="20"/>
                <w:lang w:val="en-AU"/>
              </w:rPr>
              <w:t xml:space="preserve"> civil penalties</w:t>
            </w:r>
            <w:r w:rsidR="002F30E4" w:rsidRPr="00F17BD5">
              <w:rPr>
                <w:rFonts w:cstheme="minorHAnsi"/>
                <w:szCs w:val="20"/>
                <w:lang w:val="en-AU"/>
              </w:rPr>
              <w:t xml:space="preserve"> provisions</w:t>
            </w:r>
            <w:r w:rsidR="00C127B9" w:rsidRPr="00F17BD5">
              <w:rPr>
                <w:rFonts w:cstheme="minorHAnsi"/>
                <w:szCs w:val="20"/>
                <w:lang w:val="en-AU"/>
              </w:rPr>
              <w:t xml:space="preserve">. </w:t>
            </w:r>
          </w:p>
          <w:p w14:paraId="5DC97AA9" w14:textId="531C8522" w:rsidR="005D33F1" w:rsidRPr="00F17BD5" w:rsidRDefault="00C127B9" w:rsidP="00011170">
            <w:pPr>
              <w:pStyle w:val="Tabletext"/>
              <w:cnfStyle w:val="000000000000" w:firstRow="0" w:lastRow="0" w:firstColumn="0" w:lastColumn="0" w:oddVBand="0" w:evenVBand="0" w:oddHBand="0" w:evenHBand="0" w:firstRowFirstColumn="0" w:firstRowLastColumn="0" w:lastRowFirstColumn="0" w:lastRowLastColumn="0"/>
              <w:rPr>
                <w:rFonts w:cstheme="minorHAnsi"/>
                <w:szCs w:val="20"/>
                <w:lang w:val="en-AU"/>
              </w:rPr>
            </w:pPr>
            <w:r w:rsidRPr="00F17BD5">
              <w:rPr>
                <w:rFonts w:cstheme="minorHAnsi"/>
                <w:szCs w:val="20"/>
                <w:lang w:val="en-AU"/>
              </w:rPr>
              <w:lastRenderedPageBreak/>
              <w:t>Breaches will be exempt from reporting where</w:t>
            </w:r>
            <w:r w:rsidR="00EB1CCD" w:rsidRPr="00F17BD5">
              <w:rPr>
                <w:rFonts w:cstheme="minorHAnsi"/>
                <w:szCs w:val="20"/>
                <w:lang w:val="en-AU"/>
              </w:rPr>
              <w:t xml:space="preserve"> </w:t>
            </w:r>
            <w:r w:rsidR="00363DD6" w:rsidRPr="00F17BD5">
              <w:rPr>
                <w:rFonts w:cstheme="minorHAnsi"/>
                <w:szCs w:val="20"/>
                <w:lang w:val="en-AU"/>
              </w:rPr>
              <w:t xml:space="preserve">they </w:t>
            </w:r>
            <w:r w:rsidR="00EB1CCD" w:rsidRPr="00F17BD5">
              <w:rPr>
                <w:rFonts w:cstheme="minorHAnsi"/>
                <w:szCs w:val="20"/>
                <w:lang w:val="en-AU"/>
              </w:rPr>
              <w:t>satisf</w:t>
            </w:r>
            <w:r w:rsidR="00363DD6" w:rsidRPr="00F17BD5">
              <w:rPr>
                <w:rFonts w:cstheme="minorHAnsi"/>
                <w:szCs w:val="20"/>
                <w:lang w:val="en-AU"/>
              </w:rPr>
              <w:t>y</w:t>
            </w:r>
            <w:r w:rsidR="00EB1CCD" w:rsidRPr="00F17BD5">
              <w:rPr>
                <w:rFonts w:cstheme="minorHAnsi"/>
                <w:szCs w:val="20"/>
                <w:lang w:val="en-AU"/>
              </w:rPr>
              <w:t xml:space="preserve"> </w:t>
            </w:r>
            <w:r w:rsidR="00EB1CCD" w:rsidRPr="00F17BD5">
              <w:rPr>
                <w:rFonts w:cstheme="minorHAnsi"/>
                <w:b/>
                <w:bCs/>
                <w:szCs w:val="20"/>
                <w:lang w:val="en-AU"/>
              </w:rPr>
              <w:t>all</w:t>
            </w:r>
            <w:r w:rsidR="00EB1CCD" w:rsidRPr="00F17BD5">
              <w:rPr>
                <w:rFonts w:cstheme="minorHAnsi"/>
                <w:szCs w:val="20"/>
                <w:lang w:val="en-AU"/>
              </w:rPr>
              <w:t xml:space="preserve"> of the following</w:t>
            </w:r>
            <w:r w:rsidR="00310BA0" w:rsidRPr="00F17BD5">
              <w:rPr>
                <w:rFonts w:cstheme="minorHAnsi"/>
                <w:szCs w:val="20"/>
                <w:lang w:val="en-AU"/>
              </w:rPr>
              <w:t xml:space="preserve"> conditions</w:t>
            </w:r>
            <w:r w:rsidRPr="00F17BD5">
              <w:rPr>
                <w:rFonts w:cstheme="minorHAnsi"/>
                <w:szCs w:val="20"/>
                <w:lang w:val="en-AU"/>
              </w:rPr>
              <w:t>:</w:t>
            </w:r>
          </w:p>
          <w:p w14:paraId="314EE57D" w14:textId="54B1EB2B" w:rsidR="00495ECE" w:rsidRPr="00F17BD5" w:rsidRDefault="00495ECE" w:rsidP="002E527B">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F17BD5">
              <w:rPr>
                <w:lang w:val="en-AU"/>
              </w:rPr>
              <w:t xml:space="preserve">the underlying circumstances in relation to the breach must have only given rise, to a </w:t>
            </w:r>
            <w:r w:rsidRPr="00F17BD5">
              <w:rPr>
                <w:u w:val="single"/>
                <w:lang w:val="en-AU"/>
              </w:rPr>
              <w:t>single reportable situation</w:t>
            </w:r>
            <w:r w:rsidRPr="00F17BD5">
              <w:rPr>
                <w:lang w:val="en-AU"/>
              </w:rPr>
              <w:t xml:space="preserve"> or</w:t>
            </w:r>
            <w:r w:rsidRPr="00F17BD5">
              <w:rPr>
                <w:u w:val="single"/>
                <w:lang w:val="en-AU"/>
              </w:rPr>
              <w:t xml:space="preserve"> single group of reportable situations</w:t>
            </w:r>
            <w:r w:rsidRPr="00F17BD5">
              <w:rPr>
                <w:lang w:val="en-AU"/>
              </w:rPr>
              <w:t xml:space="preserve"> (reportable situations involv</w:t>
            </w:r>
            <w:r w:rsidR="000B6ADD" w:rsidRPr="00F17BD5">
              <w:rPr>
                <w:lang w:val="en-AU"/>
              </w:rPr>
              <w:t>ing</w:t>
            </w:r>
            <w:r w:rsidRPr="00F17BD5">
              <w:rPr>
                <w:lang w:val="en-AU"/>
              </w:rPr>
              <w:t xml:space="preserve"> the same or substantially similar conduct and occur within 60 days of the first reportable situation)</w:t>
            </w:r>
          </w:p>
          <w:p w14:paraId="327EC74B" w14:textId="119C394C" w:rsidR="00EB1CCD" w:rsidRPr="00F17BD5" w:rsidRDefault="00EB1CCD" w:rsidP="002E527B">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F17BD5">
              <w:rPr>
                <w:u w:val="single"/>
                <w:lang w:val="en-AU"/>
              </w:rPr>
              <w:t>Rectification</w:t>
            </w:r>
            <w:r w:rsidRPr="00F17BD5">
              <w:rPr>
                <w:lang w:val="en-AU"/>
              </w:rPr>
              <w:t xml:space="preserve"> has been completed </w:t>
            </w:r>
            <w:r w:rsidRPr="00F17BD5">
              <w:rPr>
                <w:u w:val="single"/>
                <w:lang w:val="en-AU"/>
              </w:rPr>
              <w:t>within 6</w:t>
            </w:r>
            <w:r w:rsidR="00E85182" w:rsidRPr="00F17BD5">
              <w:rPr>
                <w:u w:val="single"/>
                <w:lang w:val="en-AU"/>
              </w:rPr>
              <w:t>0</w:t>
            </w:r>
            <w:r w:rsidRPr="00F17BD5">
              <w:rPr>
                <w:u w:val="single"/>
                <w:lang w:val="en-AU"/>
              </w:rPr>
              <w:t xml:space="preserve"> days</w:t>
            </w:r>
            <w:r w:rsidR="003A3EBC" w:rsidRPr="00F17BD5">
              <w:rPr>
                <w:lang w:val="en-AU"/>
              </w:rPr>
              <w:t xml:space="preserve"> (including paying any necessary remediation)</w:t>
            </w:r>
            <w:r w:rsidRPr="00F17BD5">
              <w:rPr>
                <w:lang w:val="en-AU"/>
              </w:rPr>
              <w:t>;</w:t>
            </w:r>
          </w:p>
          <w:p w14:paraId="66C893A9" w14:textId="5C2B69D5" w:rsidR="003A3EBC" w:rsidRPr="00F17BD5" w:rsidRDefault="003A3EBC" w:rsidP="002E527B">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F17BD5">
              <w:rPr>
                <w:lang w:val="en-AU"/>
              </w:rPr>
              <w:t>The number of impacted c</w:t>
            </w:r>
            <w:r w:rsidR="00CA168D" w:rsidRPr="00F17BD5">
              <w:rPr>
                <w:lang w:val="en-AU"/>
              </w:rPr>
              <w:t>lients</w:t>
            </w:r>
            <w:r w:rsidRPr="00F17BD5">
              <w:rPr>
                <w:lang w:val="en-AU"/>
              </w:rPr>
              <w:t xml:space="preserve"> is less than 10</w:t>
            </w:r>
            <w:r w:rsidR="00E93BBD" w:rsidRPr="00F17BD5">
              <w:rPr>
                <w:lang w:val="en-AU"/>
              </w:rPr>
              <w:t xml:space="preserve"> </w:t>
            </w:r>
            <w:r w:rsidR="00DA6677" w:rsidRPr="00F17BD5">
              <w:rPr>
                <w:lang w:val="en-AU"/>
              </w:rPr>
              <w:t>(where the</w:t>
            </w:r>
            <w:r w:rsidR="00E93BBD" w:rsidRPr="00F17BD5">
              <w:rPr>
                <w:lang w:val="en-AU"/>
              </w:rPr>
              <w:t xml:space="preserve"> breach relates to a</w:t>
            </w:r>
            <w:r w:rsidR="00DA6677" w:rsidRPr="00F17BD5">
              <w:rPr>
                <w:lang w:val="en-AU"/>
              </w:rPr>
              <w:t xml:space="preserve"> jointly held</w:t>
            </w:r>
            <w:r w:rsidR="00E93BBD" w:rsidRPr="00F17BD5">
              <w:rPr>
                <w:lang w:val="en-AU"/>
              </w:rPr>
              <w:t xml:space="preserve"> financial product</w:t>
            </w:r>
            <w:r w:rsidR="00CA168D" w:rsidRPr="00F17BD5">
              <w:rPr>
                <w:lang w:val="en-AU"/>
              </w:rPr>
              <w:t xml:space="preserve"> those persons are treated as one client)</w:t>
            </w:r>
            <w:r w:rsidRPr="00F17BD5">
              <w:rPr>
                <w:lang w:val="en-AU"/>
              </w:rPr>
              <w:t>;</w:t>
            </w:r>
          </w:p>
          <w:p w14:paraId="435A6DE4" w14:textId="1722E308" w:rsidR="00310BA0" w:rsidRPr="00F17BD5" w:rsidRDefault="00EB1CCD" w:rsidP="002E527B">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F17BD5">
              <w:rPr>
                <w:lang w:val="en-AU"/>
              </w:rPr>
              <w:t xml:space="preserve">The total financial loss or damage to </w:t>
            </w:r>
            <w:r w:rsidR="00310BA0" w:rsidRPr="00F17BD5">
              <w:rPr>
                <w:lang w:val="en-AU"/>
              </w:rPr>
              <w:t>consumers</w:t>
            </w:r>
            <w:r w:rsidR="0067405C" w:rsidRPr="00F17BD5">
              <w:rPr>
                <w:lang w:val="en-AU"/>
              </w:rPr>
              <w:t xml:space="preserve"> (including where the loss has been remediated)</w:t>
            </w:r>
            <w:r w:rsidR="00310BA0" w:rsidRPr="00F17BD5">
              <w:rPr>
                <w:lang w:val="en-AU"/>
              </w:rPr>
              <w:t xml:space="preserve"> is less than $1000</w:t>
            </w:r>
            <w:r w:rsidR="00101D8B" w:rsidRPr="00F17BD5">
              <w:rPr>
                <w:lang w:val="en-AU"/>
              </w:rPr>
              <w:t xml:space="preserve">; </w:t>
            </w:r>
          </w:p>
          <w:p w14:paraId="351D2BB5" w14:textId="54A42EC9" w:rsidR="00F87697" w:rsidRPr="00F17BD5" w:rsidRDefault="00101D8B" w:rsidP="002E527B">
            <w:pPr>
              <w:pStyle w:val="Tablelistbullet"/>
              <w:cnfStyle w:val="000000000000" w:firstRow="0" w:lastRow="0" w:firstColumn="0" w:lastColumn="0" w:oddVBand="0" w:evenVBand="0" w:oddHBand="0" w:evenHBand="0" w:firstRowFirstColumn="0" w:firstRowLastColumn="0" w:lastRowFirstColumn="0" w:lastRowLastColumn="0"/>
              <w:rPr>
                <w:lang w:val="en-AU"/>
              </w:rPr>
            </w:pPr>
            <w:r w:rsidRPr="00F17BD5">
              <w:rPr>
                <w:lang w:val="en-AU"/>
              </w:rPr>
              <w:t>The breach is not a contravention of the client money reporting r</w:t>
            </w:r>
            <w:r w:rsidR="002D23D7" w:rsidRPr="00F17BD5">
              <w:rPr>
                <w:lang w:val="en-AU"/>
              </w:rPr>
              <w:t>ules and clearing and settlement rules.</w:t>
            </w:r>
          </w:p>
        </w:tc>
      </w:tr>
    </w:tbl>
    <w:p w14:paraId="1F5A4AFC" w14:textId="2FC3E3D0" w:rsidR="00F247C4" w:rsidRDefault="002E7FE1" w:rsidP="0032126F">
      <w:pPr>
        <w:pStyle w:val="Heading1"/>
      </w:pPr>
      <w:bookmarkStart w:id="240" w:name="_Toc211347188"/>
      <w:bookmarkStart w:id="241" w:name="_Toc211347629"/>
      <w:bookmarkStart w:id="242" w:name="_Toc211348552"/>
      <w:bookmarkStart w:id="243" w:name="_Toc211348993"/>
      <w:bookmarkStart w:id="244" w:name="_Toc211349986"/>
      <w:bookmarkStart w:id="245" w:name="_Toc211350024"/>
      <w:bookmarkStart w:id="246" w:name="_Toc197090152"/>
      <w:bookmarkStart w:id="247" w:name="_Toc197698559"/>
      <w:bookmarkEnd w:id="239"/>
      <w:bookmarkEnd w:id="240"/>
      <w:bookmarkEnd w:id="241"/>
      <w:bookmarkEnd w:id="242"/>
      <w:bookmarkEnd w:id="243"/>
      <w:bookmarkEnd w:id="244"/>
      <w:r>
        <w:lastRenderedPageBreak/>
        <w:t>Breach Register</w:t>
      </w:r>
      <w:bookmarkEnd w:id="245"/>
    </w:p>
    <w:p w14:paraId="3C4AFD1F" w14:textId="5CD51B48" w:rsidR="00E731EB" w:rsidRPr="00E227E4" w:rsidRDefault="00D92F88" w:rsidP="00E731EB">
      <w:pPr>
        <w:pStyle w:val="Heading2"/>
        <w:rPr>
          <w:rFonts w:cstheme="minorHAnsi"/>
          <w:sz w:val="20"/>
          <w:szCs w:val="20"/>
        </w:rPr>
      </w:pPr>
      <w:bookmarkStart w:id="248" w:name="_Toc211347227"/>
      <w:bookmarkStart w:id="249" w:name="_Toc211347668"/>
      <w:bookmarkStart w:id="250" w:name="_Toc211348591"/>
      <w:bookmarkStart w:id="251" w:name="_Toc211349032"/>
      <w:bookmarkStart w:id="252" w:name="_Toc211350025"/>
      <w:bookmarkStart w:id="253" w:name="_Toc211350026"/>
      <w:bookmarkEnd w:id="246"/>
      <w:bookmarkEnd w:id="247"/>
      <w:bookmarkEnd w:id="248"/>
      <w:bookmarkEnd w:id="249"/>
      <w:bookmarkEnd w:id="250"/>
      <w:bookmarkEnd w:id="251"/>
      <w:bookmarkEnd w:id="252"/>
      <w:r>
        <w:rPr>
          <w:rFonts w:cstheme="minorHAnsi"/>
          <w:sz w:val="20"/>
          <w:szCs w:val="20"/>
        </w:rPr>
        <w:t xml:space="preserve">Completing the </w:t>
      </w:r>
      <w:r w:rsidR="000153D3">
        <w:rPr>
          <w:rFonts w:cstheme="minorHAnsi"/>
          <w:sz w:val="20"/>
          <w:szCs w:val="20"/>
        </w:rPr>
        <w:t>Breach Register</w:t>
      </w:r>
      <w:bookmarkEnd w:id="253"/>
    </w:p>
    <w:p w14:paraId="48F91106" w14:textId="0BA298A6" w:rsidR="001E7538" w:rsidRPr="00E227E4" w:rsidRDefault="001E7538" w:rsidP="0032126F">
      <w:pPr>
        <w:pStyle w:val="Heading3"/>
      </w:pPr>
      <w:r w:rsidRPr="00E227E4">
        <w:t xml:space="preserve">The following table sets out the </w:t>
      </w:r>
      <w:r w:rsidR="00D92F88" w:rsidRPr="00E227E4">
        <w:t xml:space="preserve">process for completing the Licensee Breach Register. </w:t>
      </w:r>
      <w:r w:rsidR="00A8606B">
        <w:t xml:space="preserve">This includes </w:t>
      </w:r>
      <w:r w:rsidRPr="00E227E4">
        <w:t xml:space="preserve">assessing an incident to determine whether this amounts to a breach of the relevant legislation and </w:t>
      </w:r>
      <w:r w:rsidR="00701458" w:rsidRPr="00E227E4">
        <w:t>a ‘R</w:t>
      </w:r>
      <w:r w:rsidR="00F23DC8" w:rsidRPr="00E227E4">
        <w:t xml:space="preserve">eportable </w:t>
      </w:r>
      <w:r w:rsidR="00701458" w:rsidRPr="00E227E4">
        <w:t>S</w:t>
      </w:r>
      <w:r w:rsidR="00F23DC8" w:rsidRPr="00E227E4">
        <w:t>ituation</w:t>
      </w:r>
      <w:r w:rsidR="00701458" w:rsidRPr="00E227E4">
        <w:t>’</w:t>
      </w:r>
      <w:r w:rsidR="00F23DC8" w:rsidRPr="00E227E4">
        <w:t xml:space="preserve">. </w:t>
      </w:r>
      <w:r w:rsidR="00E8459A" w:rsidRPr="00E227E4">
        <w:t xml:space="preserve"> </w:t>
      </w:r>
    </w:p>
    <w:tbl>
      <w:tblPr>
        <w:tblStyle w:val="CAWhitepapertable"/>
        <w:tblW w:w="5000" w:type="pct"/>
        <w:tblLook w:val="04A0" w:firstRow="1" w:lastRow="0" w:firstColumn="1" w:lastColumn="0" w:noHBand="0" w:noVBand="1"/>
      </w:tblPr>
      <w:tblGrid>
        <w:gridCol w:w="2786"/>
        <w:gridCol w:w="5292"/>
        <w:gridCol w:w="1780"/>
      </w:tblGrid>
      <w:tr w:rsidR="001B3649" w:rsidRPr="00E227E4" w14:paraId="68CB4E56" w14:textId="4E561A3C" w:rsidTr="00E63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pct"/>
          </w:tcPr>
          <w:p w14:paraId="54CA1EDA" w14:textId="76944382" w:rsidR="005E63CF" w:rsidRPr="00E227E4" w:rsidRDefault="005E63CF">
            <w:pPr>
              <w:pStyle w:val="Tabletextheading"/>
              <w:rPr>
                <w:rFonts w:cstheme="minorHAnsi"/>
                <w:szCs w:val="20"/>
              </w:rPr>
            </w:pPr>
            <w:r w:rsidRPr="00E227E4">
              <w:rPr>
                <w:rFonts w:cstheme="minorHAnsi"/>
                <w:szCs w:val="20"/>
              </w:rPr>
              <w:t>Step</w:t>
            </w:r>
          </w:p>
        </w:tc>
        <w:tc>
          <w:tcPr>
            <w:tcW w:w="2684" w:type="pct"/>
          </w:tcPr>
          <w:p w14:paraId="690E687C" w14:textId="06D95714" w:rsidR="005E63CF" w:rsidRPr="00E227E4" w:rsidRDefault="005E63CF">
            <w:pPr>
              <w:pStyle w:val="Tabletextheading"/>
              <w:cnfStyle w:val="100000000000" w:firstRow="1"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Description</w:t>
            </w:r>
            <w:r>
              <w:rPr>
                <w:rFonts w:cstheme="minorHAnsi"/>
                <w:szCs w:val="20"/>
              </w:rPr>
              <w:t xml:space="preserve"> </w:t>
            </w:r>
          </w:p>
        </w:tc>
        <w:tc>
          <w:tcPr>
            <w:tcW w:w="903" w:type="pct"/>
          </w:tcPr>
          <w:p w14:paraId="58396163" w14:textId="71B4881F" w:rsidR="005E63CF" w:rsidRPr="00E227E4" w:rsidRDefault="005E63CF">
            <w:pPr>
              <w:pStyle w:val="Tabletextheading"/>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Column on the Breach Register</w:t>
            </w:r>
          </w:p>
        </w:tc>
      </w:tr>
      <w:tr w:rsidR="001B3649" w:rsidRPr="00E227E4" w14:paraId="6891C4C2" w14:textId="197964AA"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21D8C585" w14:textId="4AB6AFBA" w:rsidR="005E63CF" w:rsidRPr="00E227E4" w:rsidRDefault="00FF2C18" w:rsidP="00477B79">
            <w:pPr>
              <w:pStyle w:val="Tablenotenumbers"/>
            </w:pPr>
            <w:r>
              <w:t>Log the incident</w:t>
            </w:r>
          </w:p>
        </w:tc>
        <w:tc>
          <w:tcPr>
            <w:tcW w:w="2684" w:type="pct"/>
          </w:tcPr>
          <w:p w14:paraId="141E46E0" w14:textId="61E9EB59" w:rsidR="005E63CF" w:rsidRPr="00E227E4" w:rsidRDefault="005E63CF" w:rsidP="00BB4AF9">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363D80">
              <w:rPr>
                <w:rFonts w:cstheme="minorHAnsi"/>
                <w:szCs w:val="20"/>
              </w:rPr>
              <w:t>Log a reference number for the incident, using the licensee’s established reference number protocol. For example, the case number on the register, date, client surname and client initials combined.</w:t>
            </w:r>
          </w:p>
        </w:tc>
        <w:tc>
          <w:tcPr>
            <w:tcW w:w="903" w:type="pct"/>
          </w:tcPr>
          <w:p w14:paraId="61178235" w14:textId="3F7C7C52" w:rsidR="005E63CF" w:rsidRPr="00E227E4" w:rsidRDefault="00221D1E" w:rsidP="0041152D">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A</w:t>
            </w:r>
          </w:p>
        </w:tc>
      </w:tr>
      <w:tr w:rsidR="007B425C" w:rsidRPr="00E227E4" w14:paraId="0BF0708F"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79CE76CD" w14:textId="5E6033CA" w:rsidR="009D5795" w:rsidRPr="00E227E4" w:rsidRDefault="00FF6E3F" w:rsidP="00FF6E3F">
            <w:pPr>
              <w:pStyle w:val="Tablenotenumbers"/>
            </w:pPr>
            <w:r>
              <w:t xml:space="preserve">Conduct </w:t>
            </w:r>
          </w:p>
        </w:tc>
        <w:tc>
          <w:tcPr>
            <w:tcW w:w="2684" w:type="pct"/>
          </w:tcPr>
          <w:p w14:paraId="00B091CF" w14:textId="5EADC68E" w:rsidR="009D5795" w:rsidRPr="00E227E4" w:rsidDel="009D5795" w:rsidRDefault="00363D80" w:rsidP="00BB4AF9">
            <w:pPr>
              <w:pStyle w:val="Tabletext"/>
              <w:numPr>
                <w:ilvl w:val="0"/>
                <w:numId w:val="45"/>
              </w:numPr>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Identify whether the incident is because of</w:t>
            </w:r>
            <w:r>
              <w:rPr>
                <w:rFonts w:cstheme="minorHAnsi"/>
                <w:szCs w:val="20"/>
              </w:rPr>
              <w:t xml:space="preserve"> adviser</w:t>
            </w:r>
            <w:r w:rsidRPr="00E227E4">
              <w:rPr>
                <w:rFonts w:cstheme="minorHAnsi"/>
                <w:szCs w:val="20"/>
              </w:rPr>
              <w:t xml:space="preserve"> conduct </w:t>
            </w:r>
            <w:r>
              <w:rPr>
                <w:rFonts w:cstheme="minorHAnsi"/>
                <w:szCs w:val="20"/>
              </w:rPr>
              <w:t>or that of the licensee</w:t>
            </w:r>
            <w:r w:rsidRPr="00E227E4">
              <w:rPr>
                <w:rFonts w:cstheme="minorHAnsi"/>
                <w:szCs w:val="20"/>
              </w:rPr>
              <w:t xml:space="preserve">. If </w:t>
            </w:r>
            <w:r>
              <w:rPr>
                <w:rFonts w:cstheme="minorHAnsi"/>
                <w:szCs w:val="20"/>
              </w:rPr>
              <w:t>adviser</w:t>
            </w:r>
            <w:r w:rsidRPr="00E227E4">
              <w:rPr>
                <w:rFonts w:cstheme="minorHAnsi"/>
                <w:szCs w:val="20"/>
              </w:rPr>
              <w:t xml:space="preserve"> </w:t>
            </w:r>
            <w:r>
              <w:rPr>
                <w:rFonts w:cstheme="minorHAnsi"/>
                <w:szCs w:val="20"/>
              </w:rPr>
              <w:t>conduct then</w:t>
            </w:r>
            <w:r w:rsidRPr="00E227E4">
              <w:rPr>
                <w:rFonts w:cstheme="minorHAnsi"/>
                <w:szCs w:val="20"/>
              </w:rPr>
              <w:t xml:space="preserve"> include the adviser details, including their AR number. </w:t>
            </w:r>
          </w:p>
        </w:tc>
        <w:tc>
          <w:tcPr>
            <w:tcW w:w="903" w:type="pct"/>
          </w:tcPr>
          <w:p w14:paraId="10D66514" w14:textId="1BEBD244" w:rsidR="009D5795" w:rsidRPr="00E227E4" w:rsidRDefault="00221D1E" w:rsidP="0041152D">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B</w:t>
            </w:r>
          </w:p>
        </w:tc>
      </w:tr>
      <w:tr w:rsidR="007B425C" w:rsidRPr="00E227E4" w14:paraId="5875869C"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0BA001A9" w14:textId="2DCB227A" w:rsidR="00363D80" w:rsidRPr="00E227E4" w:rsidRDefault="00FF6E3F" w:rsidP="00A8606B">
            <w:pPr>
              <w:pStyle w:val="Tablenotenumbers"/>
            </w:pPr>
            <w:r>
              <w:t>Date became aware</w:t>
            </w:r>
          </w:p>
        </w:tc>
        <w:tc>
          <w:tcPr>
            <w:tcW w:w="2684" w:type="pct"/>
          </w:tcPr>
          <w:p w14:paraId="146C5A0F" w14:textId="36E75B34" w:rsidR="00363D80" w:rsidRPr="00E227E4" w:rsidRDefault="00363D80" w:rsidP="00221D1E">
            <w:pPr>
              <w:pStyle w:val="Tabletext"/>
              <w:numPr>
                <w:ilvl w:val="0"/>
                <w:numId w:val="45"/>
              </w:numPr>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Record the date the licensee first became aware of the breach/incident</w:t>
            </w:r>
            <w:r w:rsidR="00221D1E">
              <w:rPr>
                <w:rFonts w:cstheme="minorHAnsi"/>
                <w:szCs w:val="20"/>
              </w:rPr>
              <w:t>.</w:t>
            </w:r>
          </w:p>
        </w:tc>
        <w:tc>
          <w:tcPr>
            <w:tcW w:w="903" w:type="pct"/>
          </w:tcPr>
          <w:p w14:paraId="1BC7BB9F" w14:textId="2020455F" w:rsidR="00363D80" w:rsidRPr="00E227E4" w:rsidRDefault="00221D1E" w:rsidP="0041152D">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C</w:t>
            </w:r>
          </w:p>
        </w:tc>
      </w:tr>
      <w:tr w:rsidR="007B425C" w:rsidRPr="00E227E4" w14:paraId="1FF34C2C"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2D267BA0" w14:textId="3D2FB19D" w:rsidR="00363D80" w:rsidRPr="00E227E4" w:rsidRDefault="00FF6E3F" w:rsidP="00A8606B">
            <w:pPr>
              <w:pStyle w:val="Tablenotenumbers"/>
            </w:pPr>
            <w:r>
              <w:t>Description</w:t>
            </w:r>
          </w:p>
        </w:tc>
        <w:tc>
          <w:tcPr>
            <w:tcW w:w="2684" w:type="pct"/>
          </w:tcPr>
          <w:p w14:paraId="234A6354" w14:textId="77777777" w:rsidR="00363D80" w:rsidRPr="00E227E4" w:rsidRDefault="00363D80" w:rsidP="00BB4AF9">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Describe the breach/incident, ensuring key facts are included. This description will likely need to be updated over time, particularly where the licensee obtains additional information and where there is an ongoing investigation.  The following should be included:</w:t>
            </w:r>
          </w:p>
          <w:p w14:paraId="77D165B4" w14:textId="77777777" w:rsidR="00363D80" w:rsidRPr="006E2C0F" w:rsidRDefault="00363D80" w:rsidP="00363D80">
            <w:pPr>
              <w:pStyle w:val="Tablelistbullet"/>
              <w:cnfStyle w:val="000000000000" w:firstRow="0" w:lastRow="0" w:firstColumn="0" w:lastColumn="0" w:oddVBand="0" w:evenVBand="0" w:oddHBand="0" w:evenHBand="0" w:firstRowFirstColumn="0" w:firstRowLastColumn="0" w:lastRowFirstColumn="0" w:lastRowLastColumn="0"/>
            </w:pPr>
            <w:r w:rsidRPr="00E227E4">
              <w:t xml:space="preserve">How long </w:t>
            </w:r>
            <w:r w:rsidRPr="006E2C0F">
              <w:t xml:space="preserve">the incident/breach lasted and whether the breach is still occurring. </w:t>
            </w:r>
          </w:p>
          <w:p w14:paraId="38616CC9" w14:textId="47F0E666" w:rsidR="00363D80" w:rsidRPr="00E227E4" w:rsidRDefault="00363D80" w:rsidP="00BB4AF9">
            <w:pPr>
              <w:pStyle w:val="Tablelistbullet"/>
              <w:cnfStyle w:val="000000000000" w:firstRow="0" w:lastRow="0" w:firstColumn="0" w:lastColumn="0" w:oddVBand="0" w:evenVBand="0" w:oddHBand="0" w:evenHBand="0" w:firstRowFirstColumn="0" w:firstRowLastColumn="0" w:lastRowFirstColumn="0" w:lastRowLastColumn="0"/>
              <w:rPr>
                <w:rFonts w:cstheme="minorHAnsi"/>
                <w:szCs w:val="20"/>
              </w:rPr>
            </w:pPr>
            <w:r w:rsidRPr="006E2C0F">
              <w:t>Where applicable and known details of the extent/magnitude</w:t>
            </w:r>
            <w:r w:rsidRPr="00E227E4">
              <w:t xml:space="preserve"> of the </w:t>
            </w:r>
            <w:r>
              <w:t>breach</w:t>
            </w:r>
            <w:r w:rsidRPr="00E227E4">
              <w:t xml:space="preserve">, including how many reportable situations relate to the breach or likely breach. </w:t>
            </w:r>
          </w:p>
        </w:tc>
        <w:tc>
          <w:tcPr>
            <w:tcW w:w="903" w:type="pct"/>
          </w:tcPr>
          <w:p w14:paraId="0C9735B0" w14:textId="7E329A58" w:rsidR="00363D80" w:rsidRPr="00E227E4" w:rsidRDefault="00B729E5" w:rsidP="0041152D">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E</w:t>
            </w:r>
          </w:p>
        </w:tc>
      </w:tr>
      <w:tr w:rsidR="007B425C" w:rsidRPr="00E227E4" w14:paraId="1DDC14EB"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260FA94E" w14:textId="2687D2F5" w:rsidR="00363D80" w:rsidRPr="00E227E4" w:rsidRDefault="007B425C" w:rsidP="00A8606B">
            <w:pPr>
              <w:pStyle w:val="Tablenotenumbers"/>
            </w:pPr>
            <w:r>
              <w:t>How identified</w:t>
            </w:r>
          </w:p>
        </w:tc>
        <w:tc>
          <w:tcPr>
            <w:tcW w:w="2684" w:type="pct"/>
          </w:tcPr>
          <w:p w14:paraId="41DEDE3E" w14:textId="20FDB4B5" w:rsidR="00363D80" w:rsidRPr="00E227E4" w:rsidRDefault="00363D80" w:rsidP="00363D80">
            <w:pPr>
              <w:pStyle w:val="Tabletext"/>
              <w:cnfStyle w:val="000000000000" w:firstRow="0" w:lastRow="0" w:firstColumn="0" w:lastColumn="0" w:oddVBand="0" w:evenVBand="0" w:oddHBand="0" w:evenHBand="0" w:firstRowFirstColumn="0" w:firstRowLastColumn="0" w:lastRowFirstColumn="0" w:lastRowLastColumn="0"/>
            </w:pPr>
            <w:r w:rsidRPr="00E227E4">
              <w:rPr>
                <w:rFonts w:cstheme="minorHAnsi"/>
                <w:szCs w:val="20"/>
              </w:rPr>
              <w:t xml:space="preserve">Record </w:t>
            </w:r>
            <w:r w:rsidR="00B729E5">
              <w:rPr>
                <w:rFonts w:cstheme="minorHAnsi"/>
                <w:szCs w:val="20"/>
              </w:rPr>
              <w:t>how</w:t>
            </w:r>
            <w:r w:rsidRPr="00E227E4">
              <w:rPr>
                <w:rFonts w:cstheme="minorHAnsi"/>
                <w:szCs w:val="20"/>
              </w:rPr>
              <w:t xml:space="preserve"> the Licensee become aware of the breach (i.e. compliance arrangements, staff/business unit report, </w:t>
            </w:r>
            <w:r w:rsidRPr="00E227E4">
              <w:rPr>
                <w:rFonts w:cstheme="minorHAnsi"/>
                <w:szCs w:val="20"/>
              </w:rPr>
              <w:lastRenderedPageBreak/>
              <w:t>whistleblower, audit function, adviser assurance, client complaints (IDR or EDR), audit, media, industry codes, committee or industry association, AFCA)</w:t>
            </w:r>
            <w:r>
              <w:rPr>
                <w:rFonts w:cstheme="minorHAnsi"/>
                <w:szCs w:val="20"/>
              </w:rPr>
              <w:t>.</w:t>
            </w:r>
          </w:p>
        </w:tc>
        <w:tc>
          <w:tcPr>
            <w:tcW w:w="903" w:type="pct"/>
          </w:tcPr>
          <w:p w14:paraId="1E00C040" w14:textId="20208365" w:rsidR="00363D80" w:rsidRPr="00E227E4" w:rsidRDefault="00027A82" w:rsidP="0041152D">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lastRenderedPageBreak/>
              <w:t>M</w:t>
            </w:r>
          </w:p>
        </w:tc>
      </w:tr>
      <w:tr w:rsidR="001B3649" w:rsidRPr="00E227E4" w14:paraId="12F09910" w14:textId="1B8B1355"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2234B077" w14:textId="53198966" w:rsidR="005E63CF" w:rsidRPr="00E227E4" w:rsidRDefault="007B425C" w:rsidP="00C667EF">
            <w:pPr>
              <w:pStyle w:val="Tablenotenumbers"/>
            </w:pPr>
            <w:r>
              <w:t>Legislation</w:t>
            </w:r>
          </w:p>
        </w:tc>
        <w:tc>
          <w:tcPr>
            <w:tcW w:w="2684" w:type="pct"/>
            <w:shd w:val="clear" w:color="auto" w:fill="FFFFFF" w:themeFill="background1"/>
          </w:tcPr>
          <w:p w14:paraId="72F16E39" w14:textId="11E6B1CD" w:rsidR="005E63CF" w:rsidRPr="00A2383C" w:rsidRDefault="005E63CF" w:rsidP="00AD274F">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Identify the relevant legislation or obligation. </w:t>
            </w:r>
            <w:r w:rsidRPr="00A2383C">
              <w:rPr>
                <w:rFonts w:cstheme="minorHAnsi"/>
                <w:szCs w:val="20"/>
              </w:rPr>
              <w:t>Record the applicable regulation/act and section number or licensee condition. If it is determined there is no relevant legislation, but it is a breach of an internal policy or licensee standard, note this</w:t>
            </w:r>
            <w:r w:rsidR="00A42D24">
              <w:rPr>
                <w:rFonts w:cstheme="minorHAnsi"/>
                <w:szCs w:val="20"/>
              </w:rPr>
              <w:t xml:space="preserve"> as ‘Policy’ or ‘Licensee Standard’</w:t>
            </w:r>
            <w:r w:rsidRPr="00A2383C">
              <w:rPr>
                <w:rFonts w:cstheme="minorHAnsi"/>
                <w:szCs w:val="20"/>
              </w:rPr>
              <w:t>.</w:t>
            </w:r>
          </w:p>
          <w:p w14:paraId="3D131033" w14:textId="4B901E91" w:rsidR="005E63CF" w:rsidRPr="00E227E4" w:rsidRDefault="005E63CF">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s</w:t>
            </w:r>
            <w:r w:rsidRPr="00E227E4">
              <w:rPr>
                <w:rFonts w:cstheme="minorHAnsi"/>
                <w:szCs w:val="20"/>
              </w:rPr>
              <w:t xml:space="preserve">912D of the Corporations Act identifies the relevant legislation </w:t>
            </w:r>
            <w:r>
              <w:rPr>
                <w:rFonts w:cstheme="minorHAnsi"/>
                <w:szCs w:val="20"/>
              </w:rPr>
              <w:t>that is subject to the</w:t>
            </w:r>
            <w:r w:rsidRPr="00E227E4">
              <w:rPr>
                <w:rFonts w:cstheme="minorHAnsi"/>
                <w:szCs w:val="20"/>
              </w:rPr>
              <w:t xml:space="preserve"> Reportable Situations Regime. </w:t>
            </w:r>
          </w:p>
          <w:p w14:paraId="5A6294BA" w14:textId="62363724" w:rsidR="005E63CF" w:rsidRPr="00E227E4" w:rsidRDefault="005E63CF">
            <w:pPr>
              <w:pStyle w:val="Tabletext"/>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r w:rsidRPr="00E227E4">
              <w:rPr>
                <w:rFonts w:cstheme="minorHAnsi"/>
                <w:szCs w:val="20"/>
              </w:rPr>
              <w:t>Refer to the ‘</w:t>
            </w:r>
            <w:r>
              <w:rPr>
                <w:rFonts w:cstheme="minorHAnsi"/>
                <w:szCs w:val="20"/>
              </w:rPr>
              <w:t>E</w:t>
            </w:r>
            <w:r w:rsidRPr="00E227E4">
              <w:rPr>
                <w:rFonts w:cstheme="minorHAnsi"/>
                <w:szCs w:val="20"/>
              </w:rPr>
              <w:t xml:space="preserve">xamples of </w:t>
            </w:r>
            <w:r>
              <w:rPr>
                <w:rFonts w:cstheme="minorHAnsi"/>
                <w:szCs w:val="20"/>
              </w:rPr>
              <w:t>R</w:t>
            </w:r>
            <w:r w:rsidRPr="00E227E4">
              <w:rPr>
                <w:rFonts w:cstheme="minorHAnsi"/>
                <w:szCs w:val="20"/>
              </w:rPr>
              <w:t xml:space="preserve">eportable </w:t>
            </w:r>
            <w:r>
              <w:rPr>
                <w:rFonts w:cstheme="minorHAnsi"/>
                <w:szCs w:val="20"/>
              </w:rPr>
              <w:t>S</w:t>
            </w:r>
            <w:r w:rsidRPr="00E227E4">
              <w:rPr>
                <w:rFonts w:cstheme="minorHAnsi"/>
                <w:szCs w:val="20"/>
              </w:rPr>
              <w:t>ituations’</w:t>
            </w:r>
            <w:r>
              <w:rPr>
                <w:rFonts w:cstheme="minorHAnsi"/>
                <w:szCs w:val="20"/>
              </w:rPr>
              <w:t xml:space="preserve"> in Appendix 1. Note</w:t>
            </w:r>
            <w:r w:rsidRPr="00E227E4">
              <w:rPr>
                <w:rFonts w:cstheme="minorHAnsi"/>
                <w:szCs w:val="20"/>
              </w:rPr>
              <w:t xml:space="preserve"> that the ‘example’ list is not intended to be exhaustive and should </w:t>
            </w:r>
            <w:r>
              <w:rPr>
                <w:rFonts w:cstheme="minorHAnsi"/>
                <w:szCs w:val="20"/>
              </w:rPr>
              <w:t xml:space="preserve">only </w:t>
            </w:r>
            <w:r w:rsidRPr="00E227E4">
              <w:rPr>
                <w:rFonts w:cstheme="minorHAnsi"/>
                <w:szCs w:val="20"/>
              </w:rPr>
              <w:t>be used as a guide. It may be necessary to</w:t>
            </w:r>
            <w:r>
              <w:rPr>
                <w:rFonts w:cstheme="minorHAnsi"/>
                <w:szCs w:val="20"/>
              </w:rPr>
              <w:t xml:space="preserve"> conduct</w:t>
            </w:r>
            <w:r w:rsidRPr="00E227E4">
              <w:rPr>
                <w:rFonts w:cstheme="minorHAnsi"/>
                <w:szCs w:val="20"/>
              </w:rPr>
              <w:t xml:space="preserve"> further research, outside of </w:t>
            </w:r>
            <w:r>
              <w:rPr>
                <w:rFonts w:cstheme="minorHAnsi"/>
                <w:szCs w:val="20"/>
              </w:rPr>
              <w:t>these examples,</w:t>
            </w:r>
            <w:r w:rsidRPr="00E227E4">
              <w:rPr>
                <w:rFonts w:cstheme="minorHAnsi"/>
                <w:szCs w:val="20"/>
              </w:rPr>
              <w:t xml:space="preserve"> as </w:t>
            </w:r>
            <w:r>
              <w:rPr>
                <w:rFonts w:cstheme="minorHAnsi"/>
                <w:szCs w:val="20"/>
              </w:rPr>
              <w:t xml:space="preserve">other </w:t>
            </w:r>
            <w:r w:rsidRPr="00E227E4">
              <w:rPr>
                <w:rFonts w:cstheme="minorHAnsi"/>
                <w:szCs w:val="20"/>
              </w:rPr>
              <w:t xml:space="preserve">applicable provisions </w:t>
            </w:r>
            <w:r>
              <w:rPr>
                <w:rFonts w:cstheme="minorHAnsi"/>
                <w:szCs w:val="20"/>
              </w:rPr>
              <w:t xml:space="preserve">may apply. </w:t>
            </w:r>
          </w:p>
        </w:tc>
        <w:tc>
          <w:tcPr>
            <w:tcW w:w="903" w:type="pct"/>
          </w:tcPr>
          <w:p w14:paraId="4171569B" w14:textId="4D4815BB" w:rsidR="005E63CF" w:rsidRDefault="00AD274F">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D</w:t>
            </w:r>
          </w:p>
        </w:tc>
      </w:tr>
      <w:tr w:rsidR="001B3649" w:rsidRPr="00E227E4" w14:paraId="33A1B707" w14:textId="0414ABA5"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6103C582" w14:textId="3A875B8E" w:rsidR="005E63CF" w:rsidRPr="00E227E4" w:rsidRDefault="007B425C" w:rsidP="00BF6215">
            <w:pPr>
              <w:pStyle w:val="Tablenotenumbers"/>
            </w:pPr>
            <w:r>
              <w:t>Determine if a breach/commence investigation</w:t>
            </w:r>
          </w:p>
        </w:tc>
        <w:tc>
          <w:tcPr>
            <w:tcW w:w="2684" w:type="pct"/>
            <w:shd w:val="clear" w:color="auto" w:fill="FFFFFF" w:themeFill="background1"/>
          </w:tcPr>
          <w:p w14:paraId="6C160F2C" w14:textId="49D0A261" w:rsidR="005E63CF" w:rsidRPr="00E227E4" w:rsidRDefault="00F41A8B">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Determine </w:t>
            </w:r>
            <w:r>
              <w:rPr>
                <w:rFonts w:cstheme="minorHAnsi"/>
                <w:szCs w:val="20"/>
              </w:rPr>
              <w:t>w</w:t>
            </w:r>
            <w:r w:rsidRPr="00E227E4">
              <w:rPr>
                <w:rFonts w:cstheme="minorHAnsi"/>
                <w:szCs w:val="20"/>
              </w:rPr>
              <w:t xml:space="preserve">hether a </w:t>
            </w:r>
            <w:r>
              <w:rPr>
                <w:rFonts w:cstheme="minorHAnsi"/>
                <w:szCs w:val="20"/>
              </w:rPr>
              <w:t>b</w:t>
            </w:r>
            <w:r w:rsidRPr="00E227E4">
              <w:rPr>
                <w:rFonts w:cstheme="minorHAnsi"/>
                <w:szCs w:val="20"/>
              </w:rPr>
              <w:t xml:space="preserve">reach has </w:t>
            </w:r>
            <w:r>
              <w:rPr>
                <w:rFonts w:cstheme="minorHAnsi"/>
                <w:szCs w:val="20"/>
              </w:rPr>
              <w:t>o</w:t>
            </w:r>
            <w:r w:rsidRPr="00E227E4">
              <w:rPr>
                <w:rFonts w:cstheme="minorHAnsi"/>
                <w:szCs w:val="20"/>
              </w:rPr>
              <w:t>ccurred</w:t>
            </w:r>
            <w:r>
              <w:rPr>
                <w:rFonts w:cstheme="minorHAnsi"/>
                <w:szCs w:val="20"/>
              </w:rPr>
              <w:t xml:space="preserve">. </w:t>
            </w:r>
            <w:r w:rsidR="005E63CF" w:rsidRPr="00E227E4">
              <w:rPr>
                <w:rFonts w:cstheme="minorHAnsi"/>
                <w:szCs w:val="20"/>
              </w:rPr>
              <w:t xml:space="preserve">Assess </w:t>
            </w:r>
            <w:r w:rsidR="00946716">
              <w:rPr>
                <w:rFonts w:cstheme="minorHAnsi"/>
                <w:szCs w:val="20"/>
              </w:rPr>
              <w:t xml:space="preserve">the facts to determine if there was </w:t>
            </w:r>
            <w:r w:rsidR="005E63CF" w:rsidRPr="00E227E4">
              <w:rPr>
                <w:rFonts w:cstheme="minorHAnsi"/>
                <w:szCs w:val="20"/>
              </w:rPr>
              <w:t>a breach of legislation.</w:t>
            </w:r>
          </w:p>
          <w:p w14:paraId="646CC0AF" w14:textId="26EDE48F" w:rsidR="005E63CF" w:rsidRPr="00E227E4" w:rsidRDefault="005E63CF">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Document</w:t>
            </w:r>
            <w:r w:rsidRPr="00E227E4">
              <w:rPr>
                <w:rFonts w:cstheme="minorHAnsi"/>
                <w:szCs w:val="20"/>
              </w:rPr>
              <w:t xml:space="preserve"> reasons for concluding the incident is a breach/is not a breach, within the ‘description of the breach/incident’ section of the Licensee Breach Register. </w:t>
            </w:r>
          </w:p>
          <w:p w14:paraId="68BCF220" w14:textId="1C270B01" w:rsidR="005E63CF" w:rsidRPr="00E227E4" w:rsidRDefault="005E63CF" w:rsidP="0066524F">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If you do not have sufficient information to determine if there is a breach, commence an investigation</w:t>
            </w:r>
            <w:r w:rsidRPr="00E227E4">
              <w:rPr>
                <w:rFonts w:cstheme="minorHAnsi"/>
                <w:szCs w:val="20"/>
              </w:rPr>
              <w:t xml:space="preserve"> immediately. </w:t>
            </w:r>
          </w:p>
        </w:tc>
        <w:tc>
          <w:tcPr>
            <w:tcW w:w="903" w:type="pct"/>
          </w:tcPr>
          <w:p w14:paraId="280982AE" w14:textId="6B8D9C9B" w:rsidR="005E63CF" w:rsidRPr="00E227E4" w:rsidRDefault="00A41D0A">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E</w:t>
            </w:r>
          </w:p>
        </w:tc>
      </w:tr>
      <w:tr w:rsidR="001B3649" w:rsidRPr="00E227E4" w14:paraId="5C1528C6" w14:textId="2780D755"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30E46BFC" w14:textId="0D19A9F2" w:rsidR="005E63CF" w:rsidRPr="00E227E4" w:rsidRDefault="00A41D0A" w:rsidP="007C5BC6">
            <w:pPr>
              <w:pStyle w:val="Tablenotenumbers"/>
            </w:pPr>
            <w:r>
              <w:t xml:space="preserve">Assess if a </w:t>
            </w:r>
            <w:r w:rsidR="002B1C2E">
              <w:t>‘</w:t>
            </w:r>
            <w:r w:rsidR="005E63CF" w:rsidRPr="00E227E4">
              <w:t>Reportable Situation</w:t>
            </w:r>
            <w:r w:rsidR="002B1C2E">
              <w:t>’</w:t>
            </w:r>
          </w:p>
        </w:tc>
        <w:tc>
          <w:tcPr>
            <w:tcW w:w="2684" w:type="pct"/>
            <w:shd w:val="clear" w:color="auto" w:fill="FFFFFF" w:themeFill="background1"/>
          </w:tcPr>
          <w:p w14:paraId="5B6B37ED" w14:textId="4FF18F58" w:rsidR="005E63CF" w:rsidRPr="00E227E4" w:rsidRDefault="005E63CF" w:rsidP="00814581">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If </w:t>
            </w:r>
            <w:r>
              <w:rPr>
                <w:rFonts w:cstheme="minorHAnsi"/>
                <w:szCs w:val="20"/>
              </w:rPr>
              <w:t>there is a</w:t>
            </w:r>
            <w:r w:rsidRPr="00E227E4">
              <w:rPr>
                <w:rFonts w:cstheme="minorHAnsi"/>
                <w:szCs w:val="20"/>
              </w:rPr>
              <w:t xml:space="preserve"> breach</w:t>
            </w:r>
            <w:r>
              <w:rPr>
                <w:rFonts w:cstheme="minorHAnsi"/>
                <w:szCs w:val="20"/>
              </w:rPr>
              <w:t xml:space="preserve"> of legislation or obligations</w:t>
            </w:r>
            <w:r w:rsidRPr="00E227E4">
              <w:rPr>
                <w:rFonts w:cstheme="minorHAnsi"/>
                <w:szCs w:val="20"/>
              </w:rPr>
              <w:t xml:space="preserve">, determine whether the breach amounts to a reportable situation. </w:t>
            </w:r>
            <w:r>
              <w:rPr>
                <w:rFonts w:cstheme="minorHAnsi"/>
                <w:szCs w:val="20"/>
              </w:rPr>
              <w:t>Refer to the section on ‘Reportable Situations’.</w:t>
            </w:r>
          </w:p>
          <w:p w14:paraId="460F82AE" w14:textId="0D892CE6" w:rsidR="00E05383" w:rsidRPr="00E227E4" w:rsidRDefault="005E63CF" w:rsidP="00E44BEB">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Following the assessment, you should document reasons for concluding that the breach is/is not a reportable situation within the ‘description of the breach/incident’ section</w:t>
            </w:r>
            <w:r>
              <w:rPr>
                <w:rFonts w:cstheme="minorHAnsi"/>
                <w:szCs w:val="20"/>
              </w:rPr>
              <w:t xml:space="preserve"> (E)</w:t>
            </w:r>
            <w:r w:rsidRPr="00E227E4">
              <w:rPr>
                <w:rFonts w:cstheme="minorHAnsi"/>
                <w:szCs w:val="20"/>
              </w:rPr>
              <w:t xml:space="preserve"> of the breach register. </w:t>
            </w:r>
          </w:p>
        </w:tc>
        <w:tc>
          <w:tcPr>
            <w:tcW w:w="903" w:type="pct"/>
          </w:tcPr>
          <w:p w14:paraId="14D1A116" w14:textId="035A7B86" w:rsidR="005E63CF" w:rsidRPr="00E227E4" w:rsidRDefault="00E44BEB">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E</w:t>
            </w:r>
          </w:p>
        </w:tc>
      </w:tr>
      <w:tr w:rsidR="001B3649" w:rsidRPr="00E227E4" w14:paraId="5066C636" w14:textId="4F97E72E"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6D5FCDDB" w14:textId="38C704CA" w:rsidR="005E63CF" w:rsidRPr="00E227E4" w:rsidRDefault="005E63CF" w:rsidP="005A138C">
            <w:pPr>
              <w:pStyle w:val="Tablenotenumbers"/>
            </w:pPr>
            <w:r w:rsidRPr="00E227E4">
              <w:t xml:space="preserve">Classify the </w:t>
            </w:r>
            <w:r>
              <w:t>‘R</w:t>
            </w:r>
            <w:r w:rsidRPr="00E227E4">
              <w:t>eportable Situation</w:t>
            </w:r>
            <w:r>
              <w:t>’</w:t>
            </w:r>
            <w:r w:rsidRPr="00E227E4">
              <w:t xml:space="preserve"> </w:t>
            </w:r>
          </w:p>
        </w:tc>
        <w:tc>
          <w:tcPr>
            <w:tcW w:w="2684" w:type="pct"/>
            <w:shd w:val="clear" w:color="auto" w:fill="FFFFFF" w:themeFill="background1"/>
          </w:tcPr>
          <w:p w14:paraId="516F5E6B" w14:textId="3060316B" w:rsidR="004D1E03" w:rsidRPr="00E227E4" w:rsidRDefault="00501CC2" w:rsidP="005A138C">
            <w:pPr>
              <w:pStyle w:val="Tablelistbullet"/>
              <w:numPr>
                <w:ilvl w:val="0"/>
                <w:numId w:val="0"/>
              </w:numPr>
              <w:ind w:left="227" w:hanging="227"/>
              <w:cnfStyle w:val="000000000000" w:firstRow="0" w:lastRow="0" w:firstColumn="0" w:lastColumn="0" w:oddVBand="0" w:evenVBand="0" w:oddHBand="0" w:evenHBand="0" w:firstRowFirstColumn="0" w:firstRowLastColumn="0" w:lastRowFirstColumn="0" w:lastRowLastColumn="0"/>
            </w:pPr>
            <w:r>
              <w:t>S</w:t>
            </w:r>
            <w:r w:rsidR="004D1E03" w:rsidRPr="00E227E4">
              <w:t>elect the nature of ‘reportable situation’ using the dropdown menu:</w:t>
            </w:r>
          </w:p>
          <w:p w14:paraId="38860D22" w14:textId="77777777" w:rsidR="004D1E03" w:rsidRPr="00501CC2" w:rsidRDefault="004D1E03" w:rsidP="005A138C">
            <w:pPr>
              <w:pStyle w:val="Tablelistbullet"/>
              <w:cnfStyle w:val="000000000000" w:firstRow="0" w:lastRow="0" w:firstColumn="0" w:lastColumn="0" w:oddVBand="0" w:evenVBand="0" w:oddHBand="0" w:evenHBand="0" w:firstRowFirstColumn="0" w:firstRowLastColumn="0" w:lastRowFirstColumn="0" w:lastRowLastColumn="0"/>
            </w:pPr>
            <w:r w:rsidRPr="00501CC2">
              <w:t>Breach of a Core Obligation and the breach is significant</w:t>
            </w:r>
          </w:p>
          <w:p w14:paraId="09B2982A" w14:textId="77777777" w:rsidR="004D1E03" w:rsidRPr="00501CC2" w:rsidRDefault="004D1E03" w:rsidP="005A138C">
            <w:pPr>
              <w:pStyle w:val="Tablelistbullet"/>
              <w:cnfStyle w:val="000000000000" w:firstRow="0" w:lastRow="0" w:firstColumn="0" w:lastColumn="0" w:oddVBand="0" w:evenVBand="0" w:oddHBand="0" w:evenHBand="0" w:firstRowFirstColumn="0" w:firstRowLastColumn="0" w:lastRowFirstColumn="0" w:lastRowLastColumn="0"/>
            </w:pPr>
            <w:r w:rsidRPr="00501CC2">
              <w:t xml:space="preserve">Investigation for more than 60 days into a possible core obligation </w:t>
            </w:r>
          </w:p>
          <w:p w14:paraId="23842953" w14:textId="77777777" w:rsidR="004D1E03" w:rsidRPr="00501CC2" w:rsidRDefault="004D1E03" w:rsidP="005A138C">
            <w:pPr>
              <w:pStyle w:val="Tablelistbullet"/>
              <w:cnfStyle w:val="000000000000" w:firstRow="0" w:lastRow="0" w:firstColumn="0" w:lastColumn="0" w:oddVBand="0" w:evenVBand="0" w:oddHBand="0" w:evenHBand="0" w:firstRowFirstColumn="0" w:firstRowLastColumn="0" w:lastRowFirstColumn="0" w:lastRowLastColumn="0"/>
            </w:pPr>
            <w:r w:rsidRPr="00501CC2">
              <w:t>Investigation for more than 60 days and no breach of core obligation found</w:t>
            </w:r>
          </w:p>
          <w:p w14:paraId="2032131F" w14:textId="77777777" w:rsidR="004D1E03" w:rsidRPr="00501CC2" w:rsidRDefault="004D1E03" w:rsidP="005A138C">
            <w:pPr>
              <w:pStyle w:val="Tablelistbullet"/>
              <w:cnfStyle w:val="000000000000" w:firstRow="0" w:lastRow="0" w:firstColumn="0" w:lastColumn="0" w:oddVBand="0" w:evenVBand="0" w:oddHBand="0" w:evenHBand="0" w:firstRowFirstColumn="0" w:firstRowLastColumn="0" w:lastRowFirstColumn="0" w:lastRowLastColumn="0"/>
            </w:pPr>
            <w:r w:rsidRPr="00501CC2">
              <w:t>Gross Negligence</w:t>
            </w:r>
          </w:p>
          <w:p w14:paraId="3C14480E" w14:textId="77777777" w:rsidR="004D1E03" w:rsidRPr="00501CC2" w:rsidRDefault="004D1E03" w:rsidP="005A138C">
            <w:pPr>
              <w:pStyle w:val="Tablelistbullet"/>
              <w:cnfStyle w:val="000000000000" w:firstRow="0" w:lastRow="0" w:firstColumn="0" w:lastColumn="0" w:oddVBand="0" w:evenVBand="0" w:oddHBand="0" w:evenHBand="0" w:firstRowFirstColumn="0" w:firstRowLastColumn="0" w:lastRowFirstColumn="0" w:lastRowLastColumn="0"/>
            </w:pPr>
            <w:r w:rsidRPr="00501CC2">
              <w:t>Serious Fraud</w:t>
            </w:r>
          </w:p>
          <w:p w14:paraId="5105823D" w14:textId="77777777" w:rsidR="00501CC2" w:rsidRPr="00501CC2" w:rsidRDefault="004D1E03" w:rsidP="005A138C">
            <w:pPr>
              <w:pStyle w:val="Tablelistbullet"/>
              <w:cnfStyle w:val="000000000000" w:firstRow="0" w:lastRow="0" w:firstColumn="0" w:lastColumn="0" w:oddVBand="0" w:evenVBand="0" w:oddHBand="0" w:evenHBand="0" w:firstRowFirstColumn="0" w:firstRowLastColumn="0" w:lastRowFirstColumn="0" w:lastRowLastColumn="0"/>
            </w:pPr>
            <w:r w:rsidRPr="00501CC2">
              <w:t>Not a reportable situation – Other Breach (to be selected if it is concluded that there is not a reportable situation)</w:t>
            </w:r>
            <w:r w:rsidR="00501CC2" w:rsidRPr="00501CC2">
              <w:t xml:space="preserve"> </w:t>
            </w:r>
          </w:p>
          <w:p w14:paraId="711D18F9" w14:textId="1275ECAE" w:rsidR="004D1E03" w:rsidRPr="00501CC2" w:rsidRDefault="00501CC2" w:rsidP="005A138C">
            <w:pPr>
              <w:pStyle w:val="Tablelistbullet"/>
              <w:cnfStyle w:val="000000000000" w:firstRow="0" w:lastRow="0" w:firstColumn="0" w:lastColumn="0" w:oddVBand="0" w:evenVBand="0" w:oddHBand="0" w:evenHBand="0" w:firstRowFirstColumn="0" w:firstRowLastColumn="0" w:lastRowFirstColumn="0" w:lastRowLastColumn="0"/>
            </w:pPr>
            <w:r w:rsidRPr="00501CC2">
              <w:lastRenderedPageBreak/>
              <w:t>Not a reportable situation – Incident only (to be selected if it is concluded that there is not breach)</w:t>
            </w:r>
          </w:p>
          <w:p w14:paraId="0F69296C" w14:textId="00B43A31" w:rsidR="005E63CF" w:rsidRPr="00E227E4" w:rsidRDefault="005E63CF" w:rsidP="00FE1C43">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903" w:type="pct"/>
          </w:tcPr>
          <w:p w14:paraId="118CAA01" w14:textId="36F09431" w:rsidR="005E63CF" w:rsidRPr="00E227E4" w:rsidRDefault="002B1C2E" w:rsidP="00672F5F">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lastRenderedPageBreak/>
              <w:t>F</w:t>
            </w:r>
          </w:p>
        </w:tc>
      </w:tr>
      <w:tr w:rsidR="002B1C2E" w:rsidRPr="00E227E4" w14:paraId="65DB12CF"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0A4B3FEF" w14:textId="6072B531" w:rsidR="002B1C2E" w:rsidRPr="00E227E4" w:rsidRDefault="002B1C2E" w:rsidP="002B1C2E">
            <w:pPr>
              <w:pStyle w:val="Tablenotenumbers"/>
            </w:pPr>
            <w:r w:rsidRPr="00E227E4">
              <w:t xml:space="preserve">Classify the </w:t>
            </w:r>
            <w:r>
              <w:t>‘Deemed R</w:t>
            </w:r>
            <w:r w:rsidRPr="00E227E4">
              <w:t>eportable Situation</w:t>
            </w:r>
            <w:r>
              <w:t>’</w:t>
            </w:r>
            <w:r w:rsidRPr="00E227E4">
              <w:t xml:space="preserve"> </w:t>
            </w:r>
          </w:p>
        </w:tc>
        <w:tc>
          <w:tcPr>
            <w:tcW w:w="2684" w:type="pct"/>
            <w:shd w:val="clear" w:color="auto" w:fill="FFFFFF" w:themeFill="background1"/>
          </w:tcPr>
          <w:p w14:paraId="478F1BFF" w14:textId="77777777" w:rsidR="002B1C2E" w:rsidRPr="00E227E4" w:rsidRDefault="002B1C2E" w:rsidP="00FE1C43">
            <w:pPr>
              <w:pStyle w:val="Tabletext"/>
              <w:cnfStyle w:val="000000000000" w:firstRow="0" w:lastRow="0" w:firstColumn="0" w:lastColumn="0" w:oddVBand="0" w:evenVBand="0" w:oddHBand="0" w:evenHBand="0" w:firstRowFirstColumn="0" w:firstRowLastColumn="0" w:lastRowFirstColumn="0" w:lastRowLastColumn="0"/>
            </w:pPr>
            <w:r w:rsidRPr="00E227E4">
              <w:t>Select the ‘deemed reportable situation’ using the dropdown menu:</w:t>
            </w:r>
          </w:p>
          <w:p w14:paraId="5831E65E" w14:textId="77777777"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pPr>
            <w:r w:rsidRPr="00E227E4">
              <w:t>Dishonesty (penalty of 3 months or more imprisonment)</w:t>
            </w:r>
          </w:p>
          <w:p w14:paraId="0D5F9119" w14:textId="77777777"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pPr>
            <w:r w:rsidRPr="00E227E4">
              <w:t>Offence with 12 months or more imprisonment</w:t>
            </w:r>
          </w:p>
          <w:p w14:paraId="264E239B" w14:textId="77777777"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pPr>
            <w:r w:rsidRPr="00E227E4">
              <w:t>Civil Penalty</w:t>
            </w:r>
          </w:p>
          <w:p w14:paraId="1EB8BBA4" w14:textId="77777777"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pPr>
            <w:r w:rsidRPr="00E227E4">
              <w:t>Misleading or deceptive conduct</w:t>
            </w:r>
          </w:p>
          <w:p w14:paraId="30033D40" w14:textId="77777777"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pPr>
            <w:r w:rsidRPr="00E227E4">
              <w:t>Material damage or loss</w:t>
            </w:r>
          </w:p>
          <w:p w14:paraId="07517C59" w14:textId="77777777"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pPr>
            <w:r w:rsidRPr="00E227E4">
              <w:t>Systemic breaches</w:t>
            </w:r>
          </w:p>
          <w:p w14:paraId="5C1C095E" w14:textId="77777777"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pPr>
            <w:r w:rsidRPr="00E227E4">
              <w:t>Impacts licensee’s ability to provide financial services</w:t>
            </w:r>
          </w:p>
          <w:p w14:paraId="3AA04D57" w14:textId="77777777"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pPr>
            <w:r w:rsidRPr="00E227E4">
              <w:t>Indicates inadequate compliance arrangements</w:t>
            </w:r>
          </w:p>
          <w:p w14:paraId="32C3D58D" w14:textId="77777777" w:rsidR="002B1C2E" w:rsidRPr="00E05383" w:rsidRDefault="002B1C2E" w:rsidP="00FE1C43">
            <w:pPr>
              <w:pStyle w:val="Tablelistbulle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t>Other</w:t>
            </w:r>
          </w:p>
          <w:p w14:paraId="03E05F70" w14:textId="4A1BDD82" w:rsidR="002B1C2E" w:rsidRPr="00E227E4" w:rsidRDefault="002B1C2E" w:rsidP="00FE1C43">
            <w:pPr>
              <w:pStyle w:val="Tablelistbulle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t>N/A</w:t>
            </w:r>
          </w:p>
        </w:tc>
        <w:tc>
          <w:tcPr>
            <w:tcW w:w="903" w:type="pct"/>
          </w:tcPr>
          <w:p w14:paraId="51B9F439" w14:textId="58E0E2FB" w:rsidR="002B1C2E" w:rsidRPr="00E227E4" w:rsidRDefault="002B1C2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G</w:t>
            </w:r>
          </w:p>
        </w:tc>
      </w:tr>
      <w:tr w:rsidR="001B3649" w:rsidRPr="00E227E4" w14:paraId="2B070030" w14:textId="01639493"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1EFFEC58" w14:textId="4B7109F2" w:rsidR="002B1C2E" w:rsidRPr="00E227E4" w:rsidRDefault="002B1C2E" w:rsidP="0051602B">
            <w:pPr>
              <w:pStyle w:val="Tablenotenumbers"/>
            </w:pPr>
            <w:r w:rsidRPr="00E227E4">
              <w:t>Determine the financial loss</w:t>
            </w:r>
          </w:p>
        </w:tc>
        <w:tc>
          <w:tcPr>
            <w:tcW w:w="2684" w:type="pct"/>
            <w:shd w:val="clear" w:color="auto" w:fill="FFFFFF" w:themeFill="background1"/>
          </w:tcPr>
          <w:p w14:paraId="04104321" w14:textId="77777777" w:rsidR="002B1C2E" w:rsidRPr="00E227E4" w:rsidRDefault="002B1C2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Determine the financial loss to the client or the licensee.</w:t>
            </w:r>
          </w:p>
          <w:p w14:paraId="40663A34" w14:textId="21BB22E6" w:rsidR="002B1C2E" w:rsidRPr="00E227E4" w:rsidRDefault="002B1C2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Update the register with the amount of financial loss incurred. If no financial loss incurred, then indicate ‘nil.’</w:t>
            </w:r>
          </w:p>
          <w:p w14:paraId="3787ACBB" w14:textId="08FA4C32" w:rsidR="002B1C2E" w:rsidRPr="00E227E4" w:rsidRDefault="002B1C2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If the investigation is still ongoing and the financial loss is still being calculated, then leave blank and update the register when the financial loss is calculated.</w:t>
            </w:r>
          </w:p>
          <w:p w14:paraId="5B1AB7B8" w14:textId="0D6D230B" w:rsidR="002B1C2E" w:rsidRPr="00E227E4" w:rsidRDefault="002B1C2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Financial loss should be taken into account in determining significance under the ‘second significance test.’ I.e. under the second significance test a financial loss may be </w:t>
            </w:r>
            <w:r>
              <w:rPr>
                <w:rFonts w:cstheme="minorHAnsi"/>
                <w:szCs w:val="20"/>
              </w:rPr>
              <w:t>material</w:t>
            </w:r>
            <w:r w:rsidRPr="00E227E4">
              <w:rPr>
                <w:rFonts w:cstheme="minorHAnsi"/>
                <w:szCs w:val="20"/>
              </w:rPr>
              <w:t xml:space="preserve"> or may impact the licensee’s ability to provide financial services. </w:t>
            </w:r>
          </w:p>
        </w:tc>
        <w:tc>
          <w:tcPr>
            <w:tcW w:w="903" w:type="pct"/>
          </w:tcPr>
          <w:p w14:paraId="64478206" w14:textId="7385B7BD" w:rsidR="002B1C2E" w:rsidRPr="00E227E4" w:rsidRDefault="003F66A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H</w:t>
            </w:r>
          </w:p>
        </w:tc>
      </w:tr>
      <w:tr w:rsidR="001B3649" w:rsidRPr="00E227E4" w14:paraId="20B0CD34" w14:textId="526272B9"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41456CE8" w14:textId="5418342D" w:rsidR="002B1C2E" w:rsidRPr="00E227E4" w:rsidRDefault="002B1C2E" w:rsidP="0051602B">
            <w:pPr>
              <w:pStyle w:val="Tablenotenumbers"/>
            </w:pPr>
            <w:r w:rsidRPr="00E227E4">
              <w:t xml:space="preserve">Record </w:t>
            </w:r>
            <w:r>
              <w:t>k</w:t>
            </w:r>
            <w:r w:rsidRPr="00E227E4">
              <w:t xml:space="preserve">ey </w:t>
            </w:r>
            <w:r>
              <w:t>d</w:t>
            </w:r>
            <w:r w:rsidRPr="00E227E4">
              <w:t>ates</w:t>
            </w:r>
          </w:p>
        </w:tc>
        <w:tc>
          <w:tcPr>
            <w:tcW w:w="2684" w:type="pct"/>
            <w:shd w:val="clear" w:color="auto" w:fill="FFFFFF" w:themeFill="background1"/>
          </w:tcPr>
          <w:p w14:paraId="1F6FD7A6" w14:textId="5B87060D" w:rsidR="002B1C2E" w:rsidRPr="00E227E4" w:rsidRDefault="002B1C2E" w:rsidP="0051602B">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Identify and record the date that the licensee became aware that the breach was significant</w:t>
            </w:r>
            <w:r w:rsidR="00D1531C">
              <w:rPr>
                <w:rFonts w:cstheme="minorHAnsi"/>
                <w:szCs w:val="20"/>
              </w:rPr>
              <w:t>.</w:t>
            </w:r>
          </w:p>
        </w:tc>
        <w:tc>
          <w:tcPr>
            <w:tcW w:w="903" w:type="pct"/>
          </w:tcPr>
          <w:p w14:paraId="25D80A29" w14:textId="309A708E" w:rsidR="002B1C2E" w:rsidRPr="00E227E4" w:rsidRDefault="00D1531C"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I</w:t>
            </w:r>
          </w:p>
        </w:tc>
      </w:tr>
      <w:tr w:rsidR="00E56829" w:rsidRPr="00E227E4" w14:paraId="5288079E"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49EEE5C8" w14:textId="03158811" w:rsidR="00E56829" w:rsidRPr="00E227E4" w:rsidRDefault="00E56829" w:rsidP="005304CF">
            <w:pPr>
              <w:pStyle w:val="Tablenotenumbers"/>
            </w:pPr>
            <w:r w:rsidRPr="00597FBC">
              <w:t>Record key dates</w:t>
            </w:r>
          </w:p>
        </w:tc>
        <w:tc>
          <w:tcPr>
            <w:tcW w:w="2684" w:type="pct"/>
            <w:shd w:val="clear" w:color="auto" w:fill="FFFFFF" w:themeFill="background1"/>
          </w:tcPr>
          <w:p w14:paraId="7D5F60FC" w14:textId="77777777" w:rsidR="00501CC2" w:rsidRDefault="00E56829" w:rsidP="00E56829">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Identify and record the </w:t>
            </w:r>
            <w:r>
              <w:rPr>
                <w:rFonts w:cstheme="minorHAnsi"/>
                <w:szCs w:val="20"/>
              </w:rPr>
              <w:t>d</w:t>
            </w:r>
            <w:r w:rsidRPr="00E227E4">
              <w:rPr>
                <w:rFonts w:cstheme="minorHAnsi"/>
                <w:szCs w:val="20"/>
              </w:rPr>
              <w:t>ate to be reported to ASIC</w:t>
            </w:r>
            <w:r w:rsidR="00501CC2">
              <w:rPr>
                <w:rFonts w:cstheme="minorHAnsi"/>
                <w:szCs w:val="20"/>
              </w:rPr>
              <w:t xml:space="preserve">. </w:t>
            </w:r>
          </w:p>
          <w:p w14:paraId="6CF2000C" w14:textId="3DFB9499" w:rsidR="00E56829" w:rsidRPr="00E227E4" w:rsidRDefault="00501CC2" w:rsidP="00E56829">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Refer to Time</w:t>
            </w:r>
            <w:r w:rsidR="00B855C8">
              <w:rPr>
                <w:rFonts w:cstheme="minorHAnsi"/>
                <w:szCs w:val="20"/>
              </w:rPr>
              <w:t>frames for Reporting.</w:t>
            </w:r>
          </w:p>
        </w:tc>
        <w:tc>
          <w:tcPr>
            <w:tcW w:w="903" w:type="pct"/>
          </w:tcPr>
          <w:p w14:paraId="1AF8B6C3" w14:textId="3719A3F6" w:rsidR="00E56829" w:rsidRPr="00E227E4" w:rsidRDefault="00E56829" w:rsidP="00E56829">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J</w:t>
            </w:r>
          </w:p>
        </w:tc>
      </w:tr>
      <w:tr w:rsidR="00E56829" w:rsidRPr="00E227E4" w14:paraId="329B6E27"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58002B0C" w14:textId="6C119C69" w:rsidR="00E56829" w:rsidRPr="00E227E4" w:rsidRDefault="00E56829" w:rsidP="005304CF">
            <w:pPr>
              <w:pStyle w:val="Tablenotenumbers"/>
            </w:pPr>
            <w:r w:rsidRPr="00597FBC">
              <w:t>Record key dates</w:t>
            </w:r>
          </w:p>
        </w:tc>
        <w:tc>
          <w:tcPr>
            <w:tcW w:w="2684" w:type="pct"/>
            <w:shd w:val="clear" w:color="auto" w:fill="FFFFFF" w:themeFill="background1"/>
          </w:tcPr>
          <w:p w14:paraId="198045BA" w14:textId="392F037D" w:rsidR="00E56829" w:rsidRPr="00E227E4" w:rsidRDefault="00E56829" w:rsidP="00E56829">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Identify and record </w:t>
            </w:r>
            <w:r>
              <w:rPr>
                <w:rFonts w:cstheme="minorHAnsi"/>
                <w:szCs w:val="20"/>
              </w:rPr>
              <w:t>t</w:t>
            </w:r>
            <w:r w:rsidRPr="00E227E4">
              <w:rPr>
                <w:rFonts w:cstheme="minorHAnsi"/>
                <w:szCs w:val="20"/>
              </w:rPr>
              <w:t>he date of the first instance of the breach and the last instance of the breach (if the breach is no longer occurring) OR the date that you will no longer be able to comply with your obligations</w:t>
            </w:r>
          </w:p>
        </w:tc>
        <w:tc>
          <w:tcPr>
            <w:tcW w:w="903" w:type="pct"/>
          </w:tcPr>
          <w:p w14:paraId="68FFA64B" w14:textId="1EA628E9" w:rsidR="00E56829" w:rsidRPr="00E227E4" w:rsidRDefault="00E56829" w:rsidP="00E56829">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K</w:t>
            </w:r>
          </w:p>
        </w:tc>
      </w:tr>
      <w:tr w:rsidR="001B3649" w:rsidRPr="00E227E4" w14:paraId="2FEBA91B" w14:textId="1B3AA9AB"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237F287B" w14:textId="4A6A3C53" w:rsidR="002B1C2E" w:rsidRPr="00E227E4" w:rsidRDefault="002B1C2E" w:rsidP="00664B48">
            <w:pPr>
              <w:pStyle w:val="Tablenotenumbers"/>
            </w:pPr>
            <w:r w:rsidRPr="00E227E4">
              <w:t xml:space="preserve">Record </w:t>
            </w:r>
            <w:r>
              <w:t>d</w:t>
            </w:r>
            <w:r w:rsidRPr="00E227E4">
              <w:t xml:space="preserve">etails of </w:t>
            </w:r>
            <w:r>
              <w:t>i</w:t>
            </w:r>
            <w:r w:rsidRPr="00E227E4">
              <w:t>nvestigations</w:t>
            </w:r>
          </w:p>
        </w:tc>
        <w:tc>
          <w:tcPr>
            <w:tcW w:w="2684" w:type="pct"/>
            <w:shd w:val="clear" w:color="auto" w:fill="FFFFFF" w:themeFill="background1"/>
          </w:tcPr>
          <w:p w14:paraId="6040C5A8" w14:textId="40042234" w:rsidR="002B1C2E" w:rsidRPr="00E227E4" w:rsidRDefault="002B1C2E" w:rsidP="00B855C8">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If applicable, record details of the investigation. Within this field you should </w:t>
            </w:r>
            <w:r>
              <w:rPr>
                <w:rFonts w:cstheme="minorHAnsi"/>
                <w:szCs w:val="20"/>
              </w:rPr>
              <w:t>include</w:t>
            </w:r>
            <w:r w:rsidRPr="00E227E4">
              <w:rPr>
                <w:rFonts w:cstheme="minorHAnsi"/>
                <w:szCs w:val="20"/>
              </w:rPr>
              <w:t xml:space="preserve"> the date </w:t>
            </w:r>
            <w:r>
              <w:rPr>
                <w:rFonts w:cstheme="minorHAnsi"/>
                <w:szCs w:val="20"/>
              </w:rPr>
              <w:t xml:space="preserve">that the </w:t>
            </w:r>
            <w:r w:rsidRPr="00E227E4">
              <w:rPr>
                <w:rFonts w:cstheme="minorHAnsi"/>
                <w:szCs w:val="20"/>
              </w:rPr>
              <w:t>investigation</w:t>
            </w:r>
            <w:r>
              <w:rPr>
                <w:rFonts w:cstheme="minorHAnsi"/>
                <w:szCs w:val="20"/>
              </w:rPr>
              <w:t xml:space="preserve"> </w:t>
            </w:r>
            <w:r w:rsidRPr="00E227E4">
              <w:rPr>
                <w:rFonts w:cstheme="minorHAnsi"/>
                <w:szCs w:val="20"/>
              </w:rPr>
              <w:t xml:space="preserve">must be reported to ASIC. </w:t>
            </w:r>
          </w:p>
        </w:tc>
        <w:tc>
          <w:tcPr>
            <w:tcW w:w="903" w:type="pct"/>
          </w:tcPr>
          <w:p w14:paraId="348BC20A" w14:textId="1EB452C0" w:rsidR="002B1C2E" w:rsidRPr="00E227E4" w:rsidRDefault="00B855C8" w:rsidP="00664B48">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L</w:t>
            </w:r>
          </w:p>
        </w:tc>
      </w:tr>
      <w:tr w:rsidR="00927D0A" w:rsidRPr="00E227E4" w14:paraId="28562D71"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000ADE0F" w14:textId="6BED8014" w:rsidR="00927D0A" w:rsidRPr="00E227E4" w:rsidRDefault="00927D0A" w:rsidP="0039749F">
            <w:pPr>
              <w:pStyle w:val="Tablenotenumbers"/>
            </w:pPr>
            <w:r w:rsidRPr="00E227E4">
              <w:t xml:space="preserve">Record </w:t>
            </w:r>
            <w:r>
              <w:t>d</w:t>
            </w:r>
            <w:r w:rsidRPr="00E227E4">
              <w:t>etails of Rectification</w:t>
            </w:r>
          </w:p>
        </w:tc>
        <w:tc>
          <w:tcPr>
            <w:tcW w:w="2684" w:type="pct"/>
            <w:shd w:val="clear" w:color="auto" w:fill="FFFFFF" w:themeFill="background1"/>
          </w:tcPr>
          <w:p w14:paraId="59C758F3" w14:textId="17322110" w:rsidR="00927D0A" w:rsidRDefault="001B3649" w:rsidP="0039749F">
            <w:pPr>
              <w:pStyle w:val="Tabletext"/>
              <w:cnfStyle w:val="000000000000" w:firstRow="0" w:lastRow="0" w:firstColumn="0" w:lastColumn="0" w:oddVBand="0" w:evenVBand="0" w:oddHBand="0" w:evenHBand="0" w:firstRowFirstColumn="0" w:firstRowLastColumn="0" w:lastRowFirstColumn="0" w:lastRowLastColumn="0"/>
            </w:pPr>
            <w:r w:rsidRPr="001B3649">
              <w:t>R</w:t>
            </w:r>
            <w:r w:rsidR="00927D0A" w:rsidRPr="001B3649">
              <w:t>ecord</w:t>
            </w:r>
            <w:r w:rsidR="00927D0A" w:rsidRPr="00D70224">
              <w:t xml:space="preserve"> the steps taken to ensure that the breach is not still occurring. Examples of rectification taken may include staff training, staff consequence management, management changes, process change, system change, updated disclosure, communication to clients, etc. </w:t>
            </w:r>
          </w:p>
          <w:p w14:paraId="4FAC3DFD" w14:textId="77777777" w:rsidR="00927D0A" w:rsidRDefault="00927D0A" w:rsidP="0039749F">
            <w:pPr>
              <w:pStyle w:val="Tabletext"/>
              <w:cnfStyle w:val="000000000000" w:firstRow="0" w:lastRow="0" w:firstColumn="0" w:lastColumn="0" w:oddVBand="0" w:evenVBand="0" w:oddHBand="0" w:evenHBand="0" w:firstRowFirstColumn="0" w:firstRowLastColumn="0" w:lastRowFirstColumn="0" w:lastRowLastColumn="0"/>
            </w:pPr>
            <w:r w:rsidRPr="00D70224">
              <w:lastRenderedPageBreak/>
              <w:t xml:space="preserve">If rectification has not commenced/is still ongoing include details of when you expect rectification to be complete and how rectification will be achieved.  </w:t>
            </w:r>
          </w:p>
          <w:p w14:paraId="3AAFAD42" w14:textId="14AD28F0" w:rsidR="00927D0A" w:rsidRPr="001B3649" w:rsidRDefault="00927D0A" w:rsidP="0039749F">
            <w:pPr>
              <w:pStyle w:val="Tabletext"/>
              <w:cnfStyle w:val="000000000000" w:firstRow="0" w:lastRow="0" w:firstColumn="0" w:lastColumn="0" w:oddVBand="0" w:evenVBand="0" w:oddHBand="0" w:evenHBand="0" w:firstRowFirstColumn="0" w:firstRowLastColumn="0" w:lastRowFirstColumn="0" w:lastRowLastColumn="0"/>
            </w:pPr>
            <w:r w:rsidRPr="00E227E4">
              <w:t>Where the breach involves an authorised representative include whether their authorisation has been revoked or suspended and if their work is being monitored or supervised</w:t>
            </w:r>
            <w:r>
              <w:t>.</w:t>
            </w:r>
          </w:p>
        </w:tc>
        <w:tc>
          <w:tcPr>
            <w:tcW w:w="903" w:type="pct"/>
          </w:tcPr>
          <w:p w14:paraId="00967D6B" w14:textId="657A3FB6" w:rsidR="00927D0A" w:rsidRPr="00E227E4" w:rsidRDefault="001B3649" w:rsidP="003178D7">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lastRenderedPageBreak/>
              <w:t>N</w:t>
            </w:r>
          </w:p>
        </w:tc>
      </w:tr>
      <w:tr w:rsidR="00927D0A" w:rsidRPr="00E227E4" w14:paraId="5E88F53A" w14:textId="77777777"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41EB3051" w14:textId="0F467B68" w:rsidR="00927D0A" w:rsidRPr="00E227E4" w:rsidRDefault="00927D0A" w:rsidP="0039749F">
            <w:pPr>
              <w:pStyle w:val="Tablenotenumbers"/>
            </w:pPr>
            <w:r w:rsidRPr="00E227E4">
              <w:t xml:space="preserve">Record </w:t>
            </w:r>
            <w:r>
              <w:t>d</w:t>
            </w:r>
            <w:r w:rsidRPr="00E227E4">
              <w:t>etails of Remediation</w:t>
            </w:r>
          </w:p>
        </w:tc>
        <w:tc>
          <w:tcPr>
            <w:tcW w:w="2684" w:type="pct"/>
            <w:shd w:val="clear" w:color="auto" w:fill="FFFFFF" w:themeFill="background1"/>
          </w:tcPr>
          <w:p w14:paraId="76A96D56" w14:textId="5E51CC45" w:rsidR="00927D0A" w:rsidRPr="00E227E4" w:rsidRDefault="00927D0A" w:rsidP="00152142">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Remediation – record the steps taken or planned to remediate affected clients. Include whether and when clients have been compensated. Other remediation may include an apology, full/partial waiver of fees, financial compensation etc. </w:t>
            </w:r>
          </w:p>
        </w:tc>
        <w:tc>
          <w:tcPr>
            <w:tcW w:w="903" w:type="pct"/>
          </w:tcPr>
          <w:p w14:paraId="5CD47B3F" w14:textId="5622E8CD" w:rsidR="00927D0A" w:rsidRPr="00E227E4" w:rsidRDefault="004E4A12" w:rsidP="003178D7">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O</w:t>
            </w:r>
          </w:p>
        </w:tc>
      </w:tr>
      <w:tr w:rsidR="001B3649" w:rsidRPr="00E227E4" w14:paraId="075985FA" w14:textId="76C9D835"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1630CCF7" w14:textId="75396FFD" w:rsidR="002B1C2E" w:rsidRPr="00E227E4" w:rsidRDefault="002B1C2E" w:rsidP="0039749F">
            <w:pPr>
              <w:pStyle w:val="Tablenotenumbers"/>
            </w:pPr>
            <w:r w:rsidRPr="00E227E4">
              <w:t xml:space="preserve">Record </w:t>
            </w:r>
            <w:r w:rsidR="004E4A12">
              <w:t>d</w:t>
            </w:r>
            <w:r w:rsidRPr="00E227E4">
              <w:t>etails of Preventative Measures</w:t>
            </w:r>
          </w:p>
        </w:tc>
        <w:tc>
          <w:tcPr>
            <w:tcW w:w="2684" w:type="pct"/>
            <w:shd w:val="clear" w:color="auto" w:fill="FFFFFF" w:themeFill="background1"/>
          </w:tcPr>
          <w:p w14:paraId="6933E809" w14:textId="7996CCCA" w:rsidR="002B1C2E" w:rsidRPr="00E227E4" w:rsidRDefault="004E4A12" w:rsidP="008A5DC4">
            <w:pPr>
              <w:pStyle w:val="Tabletext"/>
              <w:cnfStyle w:val="000000000000" w:firstRow="0" w:lastRow="0" w:firstColumn="0" w:lastColumn="0" w:oddVBand="0" w:evenVBand="0" w:oddHBand="0" w:evenHBand="0" w:firstRowFirstColumn="0" w:firstRowLastColumn="0" w:lastRowFirstColumn="0" w:lastRowLastColumn="0"/>
            </w:pPr>
            <w:r>
              <w:t>R</w:t>
            </w:r>
            <w:r w:rsidR="002B1C2E" w:rsidRPr="00E227E4">
              <w:t>ecord steps taken or planned to prevent future occurrences</w:t>
            </w:r>
            <w:r w:rsidR="002B1C2E">
              <w:t>.</w:t>
            </w:r>
          </w:p>
        </w:tc>
        <w:tc>
          <w:tcPr>
            <w:tcW w:w="903" w:type="pct"/>
          </w:tcPr>
          <w:p w14:paraId="387872F9" w14:textId="7C1277B5" w:rsidR="002B1C2E" w:rsidRPr="00E227E4" w:rsidRDefault="004E4A12"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P</w:t>
            </w:r>
          </w:p>
        </w:tc>
      </w:tr>
      <w:tr w:rsidR="001B3649" w:rsidRPr="00E227E4" w14:paraId="0967F08D" w14:textId="69C25091"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1549839E" w14:textId="77777777" w:rsidR="002B1C2E" w:rsidRPr="00E227E4" w:rsidRDefault="002B1C2E" w:rsidP="008A5DC4">
            <w:pPr>
              <w:pStyle w:val="Tablenotenumbers"/>
            </w:pPr>
            <w:r w:rsidRPr="00E227E4">
              <w:t>Record Root Cause</w:t>
            </w:r>
          </w:p>
          <w:p w14:paraId="10758018" w14:textId="15A14EBC" w:rsidR="002B1C2E" w:rsidRPr="00E227E4" w:rsidRDefault="002B1C2E" w:rsidP="002B1C2E">
            <w:pPr>
              <w:pStyle w:val="Tabletext"/>
              <w:rPr>
                <w:rFonts w:cstheme="minorHAnsi"/>
                <w:szCs w:val="20"/>
              </w:rPr>
            </w:pPr>
          </w:p>
        </w:tc>
        <w:tc>
          <w:tcPr>
            <w:tcW w:w="2684" w:type="pct"/>
            <w:shd w:val="clear" w:color="auto" w:fill="FFFFFF" w:themeFill="background1"/>
          </w:tcPr>
          <w:p w14:paraId="2F92B21F" w14:textId="2951FBFE" w:rsidR="002B1C2E" w:rsidRPr="00E227E4" w:rsidRDefault="002B1C2E" w:rsidP="004E4A12">
            <w:pPr>
              <w:pStyle w:val="Tabletext"/>
              <w:cnfStyle w:val="000000000000" w:firstRow="0" w:lastRow="0" w:firstColumn="0" w:lastColumn="0" w:oddVBand="0" w:evenVBand="0" w:oddHBand="0" w:evenHBand="0" w:firstRowFirstColumn="0" w:firstRowLastColumn="0" w:lastRowFirstColumn="0" w:lastRowLastColumn="0"/>
            </w:pPr>
            <w:r w:rsidRPr="00E227E4">
              <w:t xml:space="preserve">Perform a root cause analysis and record root cause on the </w:t>
            </w:r>
            <w:r>
              <w:t>r</w:t>
            </w:r>
            <w:r w:rsidRPr="00E227E4">
              <w:t>egister. There may be more than one. Root causes include:</w:t>
            </w:r>
          </w:p>
          <w:p w14:paraId="784F7A86"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policy or process deficiency</w:t>
            </w:r>
          </w:p>
          <w:p w14:paraId="3D4593F9"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system deficiency</w:t>
            </w:r>
          </w:p>
          <w:p w14:paraId="6C83FFDD"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staff negligence or error</w:t>
            </w:r>
          </w:p>
          <w:p w14:paraId="4B565107"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staff inadequate supervision or lack of training</w:t>
            </w:r>
          </w:p>
          <w:p w14:paraId="36E23C91"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staff fraud and misappropriation</w:t>
            </w:r>
          </w:p>
          <w:p w14:paraId="4EAB042C"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 xml:space="preserve">staff misconduct </w:t>
            </w:r>
          </w:p>
          <w:p w14:paraId="7A8E450B" w14:textId="7DE907DB"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failure to comply with breach reporting requirements to ASIC</w:t>
            </w:r>
          </w:p>
          <w:p w14:paraId="554364F7"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failure to comply with other statutory reporting requirements to ASIC</w:t>
            </w:r>
          </w:p>
          <w:p w14:paraId="73007C9D"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misunderstanding of obligations</w:t>
            </w:r>
          </w:p>
          <w:p w14:paraId="380A6B5B"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inadequate management controls</w:t>
            </w:r>
          </w:p>
          <w:p w14:paraId="7CE5603A"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inadequate risk management</w:t>
            </w:r>
          </w:p>
          <w:p w14:paraId="73A64C4C"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inadequate compliance measures</w:t>
            </w:r>
          </w:p>
          <w:p w14:paraId="69214017"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inadequate human resources</w:t>
            </w:r>
          </w:p>
          <w:p w14:paraId="5389F657" w14:textId="7D70BD76"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inadequate technological resources</w:t>
            </w:r>
          </w:p>
          <w:p w14:paraId="2B95B6F2" w14:textId="77777777" w:rsidR="002B1C2E" w:rsidRPr="006E2C0F"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inadequate financial resources</w:t>
            </w:r>
          </w:p>
          <w:p w14:paraId="06BFDC02" w14:textId="00979394" w:rsidR="002B1C2E" w:rsidRPr="00E227E4" w:rsidRDefault="002B1C2E" w:rsidP="008A5DC4">
            <w:pPr>
              <w:pStyle w:val="Tablelistbullet"/>
              <w:cnfStyle w:val="000000000000" w:firstRow="0" w:lastRow="0" w:firstColumn="0" w:lastColumn="0" w:oddVBand="0" w:evenVBand="0" w:oddHBand="0" w:evenHBand="0" w:firstRowFirstColumn="0" w:firstRowLastColumn="0" w:lastRowFirstColumn="0" w:lastRowLastColumn="0"/>
            </w:pPr>
            <w:r w:rsidRPr="006E2C0F">
              <w:t>other</w:t>
            </w:r>
          </w:p>
        </w:tc>
        <w:tc>
          <w:tcPr>
            <w:tcW w:w="903" w:type="pct"/>
          </w:tcPr>
          <w:p w14:paraId="5E99B23A" w14:textId="38C8418E" w:rsidR="002B1C2E" w:rsidRPr="00E227E4" w:rsidRDefault="00252BE5" w:rsidP="008A5DC4">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Q</w:t>
            </w:r>
          </w:p>
        </w:tc>
      </w:tr>
      <w:tr w:rsidR="001B3649" w:rsidRPr="00E227E4" w14:paraId="27AA907F" w14:textId="1484052A"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20965F95" w14:textId="25C8DB35" w:rsidR="002B1C2E" w:rsidRPr="00E227E4" w:rsidRDefault="00252BE5" w:rsidP="00B57753">
            <w:pPr>
              <w:pStyle w:val="Tablenotenumbers"/>
            </w:pPr>
            <w:r>
              <w:t>Date reported to ASIC</w:t>
            </w:r>
          </w:p>
        </w:tc>
        <w:tc>
          <w:tcPr>
            <w:tcW w:w="2684" w:type="pct"/>
            <w:shd w:val="clear" w:color="auto" w:fill="FFFFFF" w:themeFill="background1"/>
          </w:tcPr>
          <w:p w14:paraId="26F8C213" w14:textId="21C735CE" w:rsidR="002B1C2E" w:rsidRPr="00E227E4" w:rsidRDefault="002B1C2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Once it has been concluded that a reportable situation has occurred it should be reported to ASIC via the Regulatory Portal, within the required timeframe. </w:t>
            </w:r>
            <w:r w:rsidR="00322920">
              <w:rPr>
                <w:rFonts w:cstheme="minorHAnsi"/>
                <w:szCs w:val="20"/>
              </w:rPr>
              <w:t>Record the date reported.</w:t>
            </w:r>
          </w:p>
          <w:p w14:paraId="43DD9BB0" w14:textId="0F220D4B" w:rsidR="002B1C2E" w:rsidRPr="00E227E4" w:rsidRDefault="002B1C2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See the ASIC Regulatory Portal Lodgement Process Below. </w:t>
            </w:r>
          </w:p>
        </w:tc>
        <w:tc>
          <w:tcPr>
            <w:tcW w:w="903" w:type="pct"/>
          </w:tcPr>
          <w:p w14:paraId="27C6E072" w14:textId="3A905C12" w:rsidR="002B1C2E" w:rsidRPr="00E227E4" w:rsidRDefault="00322920"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R</w:t>
            </w:r>
          </w:p>
        </w:tc>
      </w:tr>
      <w:tr w:rsidR="001B3649" w:rsidRPr="00E227E4" w14:paraId="0E61A87D" w14:textId="7CDA59EE"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2C282551" w14:textId="416FB914" w:rsidR="002B1C2E" w:rsidRPr="00E227E4" w:rsidRDefault="002B1C2E" w:rsidP="00B57753">
            <w:pPr>
              <w:pStyle w:val="Tablenotenumbers"/>
            </w:pPr>
            <w:r w:rsidRPr="00E227E4">
              <w:lastRenderedPageBreak/>
              <w:t xml:space="preserve">Update Status </w:t>
            </w:r>
          </w:p>
        </w:tc>
        <w:tc>
          <w:tcPr>
            <w:tcW w:w="2684" w:type="pct"/>
            <w:shd w:val="clear" w:color="auto" w:fill="FFFFFF" w:themeFill="background1"/>
          </w:tcPr>
          <w:p w14:paraId="7A4594C1" w14:textId="67F584FC" w:rsidR="002B1C2E" w:rsidRPr="00E227E4" w:rsidRDefault="002B1C2E" w:rsidP="000343B5">
            <w:pPr>
              <w:pStyle w:val="Tabletext"/>
              <w:cnfStyle w:val="000000000000" w:firstRow="0" w:lastRow="0" w:firstColumn="0" w:lastColumn="0" w:oddVBand="0" w:evenVBand="0" w:oddHBand="0" w:evenHBand="0" w:firstRowFirstColumn="0" w:firstRowLastColumn="0" w:lastRowFirstColumn="0" w:lastRowLastColumn="0"/>
            </w:pPr>
            <w:r w:rsidRPr="00E227E4">
              <w:t xml:space="preserve">Update the status of the incident, breach or reportable situation as and when the status changes. Select from the following drop-down options on the </w:t>
            </w:r>
            <w:r>
              <w:t>register</w:t>
            </w:r>
            <w:r w:rsidRPr="00E227E4">
              <w:t>:</w:t>
            </w:r>
          </w:p>
          <w:p w14:paraId="4EA51918" w14:textId="77777777" w:rsidR="002B1C2E" w:rsidRPr="006E2C0F" w:rsidRDefault="002B1C2E" w:rsidP="00B57753">
            <w:pPr>
              <w:pStyle w:val="Tablelistbullet"/>
              <w:cnfStyle w:val="000000000000" w:firstRow="0" w:lastRow="0" w:firstColumn="0" w:lastColumn="0" w:oddVBand="0" w:evenVBand="0" w:oddHBand="0" w:evenHBand="0" w:firstRowFirstColumn="0" w:firstRowLastColumn="0" w:lastRowFirstColumn="0" w:lastRowLastColumn="0"/>
            </w:pPr>
            <w:r w:rsidRPr="006E2C0F">
              <w:t>Draft – Not yet submitted to ASIC</w:t>
            </w:r>
          </w:p>
          <w:p w14:paraId="15361E49" w14:textId="77777777" w:rsidR="002B1C2E" w:rsidRPr="006E2C0F" w:rsidRDefault="002B1C2E" w:rsidP="00B57753">
            <w:pPr>
              <w:pStyle w:val="Tablelistbullet"/>
              <w:cnfStyle w:val="000000000000" w:firstRow="0" w:lastRow="0" w:firstColumn="0" w:lastColumn="0" w:oddVBand="0" w:evenVBand="0" w:oddHBand="0" w:evenHBand="0" w:firstRowFirstColumn="0" w:firstRowLastColumn="0" w:lastRowFirstColumn="0" w:lastRowLastColumn="0"/>
            </w:pPr>
            <w:r w:rsidRPr="006E2C0F">
              <w:t>Submitted – Transaction submitted to ASIC</w:t>
            </w:r>
          </w:p>
          <w:p w14:paraId="2FB86293" w14:textId="77777777" w:rsidR="002B1C2E" w:rsidRPr="006E2C0F" w:rsidRDefault="002B1C2E" w:rsidP="00B57753">
            <w:pPr>
              <w:pStyle w:val="Tablelistbullet"/>
              <w:cnfStyle w:val="000000000000" w:firstRow="0" w:lastRow="0" w:firstColumn="0" w:lastColumn="0" w:oddVBand="0" w:evenVBand="0" w:oddHBand="0" w:evenHBand="0" w:firstRowFirstColumn="0" w:firstRowLastColumn="0" w:lastRowFirstColumn="0" w:lastRowLastColumn="0"/>
            </w:pPr>
            <w:r w:rsidRPr="006E2C0F">
              <w:t>Investigation Incomplete</w:t>
            </w:r>
          </w:p>
          <w:p w14:paraId="5303937F" w14:textId="77777777" w:rsidR="002B1C2E" w:rsidRPr="006E2C0F" w:rsidRDefault="002B1C2E" w:rsidP="00B57753">
            <w:pPr>
              <w:pStyle w:val="Tablelistbullet"/>
              <w:cnfStyle w:val="000000000000" w:firstRow="0" w:lastRow="0" w:firstColumn="0" w:lastColumn="0" w:oddVBand="0" w:evenVBand="0" w:oddHBand="0" w:evenHBand="0" w:firstRowFirstColumn="0" w:firstRowLastColumn="0" w:lastRowFirstColumn="0" w:lastRowLastColumn="0"/>
            </w:pPr>
            <w:r w:rsidRPr="006E2C0F">
              <w:t>Remediation Incomplete</w:t>
            </w:r>
          </w:p>
          <w:p w14:paraId="305F5EC5" w14:textId="4A11735E" w:rsidR="002B1C2E" w:rsidRDefault="002B1C2E" w:rsidP="002B1C2E">
            <w:pPr>
              <w:pStyle w:val="Tablelistbullet"/>
              <w:cnfStyle w:val="000000000000" w:firstRow="0" w:lastRow="0" w:firstColumn="0" w:lastColumn="0" w:oddVBand="0" w:evenVBand="0" w:oddHBand="0" w:evenHBand="0" w:firstRowFirstColumn="0" w:firstRowLastColumn="0" w:lastRowFirstColumn="0" w:lastRowLastColumn="0"/>
            </w:pPr>
            <w:r w:rsidRPr="006E2C0F">
              <w:t>Investigation Completed – transaction not yet in draft</w:t>
            </w:r>
          </w:p>
          <w:p w14:paraId="58DEFBA7" w14:textId="2ED264DB" w:rsidR="002B1C2E" w:rsidRPr="006E2C0F" w:rsidRDefault="002B1C2E" w:rsidP="00B57753">
            <w:pPr>
              <w:pStyle w:val="Tablelistbullet"/>
              <w:cnfStyle w:val="000000000000" w:firstRow="0" w:lastRow="0" w:firstColumn="0" w:lastColumn="0" w:oddVBand="0" w:evenVBand="0" w:oddHBand="0" w:evenHBand="0" w:firstRowFirstColumn="0" w:firstRowLastColumn="0" w:lastRowFirstColumn="0" w:lastRowLastColumn="0"/>
            </w:pPr>
            <w:r>
              <w:t>Closed – Reportable situation</w:t>
            </w:r>
          </w:p>
          <w:p w14:paraId="7771669F" w14:textId="77777777" w:rsidR="002B1C2E" w:rsidRPr="006E2C0F" w:rsidRDefault="002B1C2E" w:rsidP="00B57753">
            <w:pPr>
              <w:pStyle w:val="Tablelistbullet"/>
              <w:cnfStyle w:val="000000000000" w:firstRow="0" w:lastRow="0" w:firstColumn="0" w:lastColumn="0" w:oddVBand="0" w:evenVBand="0" w:oddHBand="0" w:evenHBand="0" w:firstRowFirstColumn="0" w:firstRowLastColumn="0" w:lastRowFirstColumn="0" w:lastRowLastColumn="0"/>
            </w:pPr>
            <w:r w:rsidRPr="006E2C0F">
              <w:t>Closed – not a reportable situation</w:t>
            </w:r>
          </w:p>
          <w:p w14:paraId="1B2C5265" w14:textId="49546A77" w:rsidR="002B1C2E" w:rsidRPr="00E227E4" w:rsidRDefault="002B1C2E" w:rsidP="00B57753">
            <w:pPr>
              <w:pStyle w:val="Tablelistbullet"/>
              <w:cnfStyle w:val="000000000000" w:firstRow="0" w:lastRow="0" w:firstColumn="0" w:lastColumn="0" w:oddVBand="0" w:evenVBand="0" w:oddHBand="0" w:evenHBand="0" w:firstRowFirstColumn="0" w:firstRowLastColumn="0" w:lastRowFirstColumn="0" w:lastRowLastColumn="0"/>
            </w:pPr>
            <w:r w:rsidRPr="006E2C0F">
              <w:t>Close</w:t>
            </w:r>
            <w:r w:rsidRPr="00E227E4">
              <w:t>d – incident not a breach</w:t>
            </w:r>
          </w:p>
        </w:tc>
        <w:tc>
          <w:tcPr>
            <w:tcW w:w="903" w:type="pct"/>
          </w:tcPr>
          <w:p w14:paraId="5FB9032F" w14:textId="09E14EE7" w:rsidR="002B1C2E" w:rsidRPr="00E227E4" w:rsidRDefault="000343B5" w:rsidP="00B57753">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S</w:t>
            </w:r>
          </w:p>
        </w:tc>
      </w:tr>
      <w:tr w:rsidR="001B3649" w:rsidRPr="00E227E4" w14:paraId="58BEBAF2" w14:textId="6534973B" w:rsidTr="00E63B91">
        <w:tc>
          <w:tcPr>
            <w:cnfStyle w:val="001000000000" w:firstRow="0" w:lastRow="0" w:firstColumn="1" w:lastColumn="0" w:oddVBand="0" w:evenVBand="0" w:oddHBand="0" w:evenHBand="0" w:firstRowFirstColumn="0" w:firstRowLastColumn="0" w:lastRowFirstColumn="0" w:lastRowLastColumn="0"/>
            <w:tcW w:w="1413" w:type="pct"/>
            <w:shd w:val="clear" w:color="auto" w:fill="FFFFFF" w:themeFill="background1"/>
          </w:tcPr>
          <w:p w14:paraId="538974F0" w14:textId="5A94DBDE" w:rsidR="002B1C2E" w:rsidRPr="00E227E4" w:rsidRDefault="002B1C2E" w:rsidP="00B57753">
            <w:pPr>
              <w:pStyle w:val="Tablenotenumbers"/>
            </w:pPr>
            <w:r w:rsidRPr="00E227E4">
              <w:t>Record Date Completed or Closed</w:t>
            </w:r>
          </w:p>
        </w:tc>
        <w:tc>
          <w:tcPr>
            <w:tcW w:w="2684" w:type="pct"/>
            <w:shd w:val="clear" w:color="auto" w:fill="FFFFFF" w:themeFill="background1"/>
          </w:tcPr>
          <w:p w14:paraId="77C433E6" w14:textId="4E4810E0" w:rsidR="002B1C2E" w:rsidRDefault="002B1C2E"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Breaches must remain open until they have a completed status in the ASIC Regulatory Portal and all remediation has been completed. </w:t>
            </w:r>
          </w:p>
          <w:p w14:paraId="5B57F77F" w14:textId="0E0DF780" w:rsidR="002B1C2E" w:rsidRPr="00E227E4" w:rsidRDefault="002B1C2E" w:rsidP="000343B5">
            <w:pPr>
              <w:pStyle w:val="Tabletext"/>
              <w:cnfStyle w:val="000000000000" w:firstRow="0" w:lastRow="0" w:firstColumn="0" w:lastColumn="0" w:oddVBand="0" w:evenVBand="0" w:oddHBand="0" w:evenHBand="0" w:firstRowFirstColumn="0" w:firstRowLastColumn="0" w:lastRowFirstColumn="0" w:lastRowLastColumn="0"/>
            </w:pPr>
            <w:r w:rsidRPr="00E227E4">
              <w:t xml:space="preserve">Once everything is complete and no further action is required by way of investigation, remediation or reporting to ASIC then record the date of closure/completion. </w:t>
            </w:r>
          </w:p>
        </w:tc>
        <w:tc>
          <w:tcPr>
            <w:tcW w:w="903" w:type="pct"/>
          </w:tcPr>
          <w:p w14:paraId="2D9A993D" w14:textId="3603C7C9" w:rsidR="002B1C2E" w:rsidRDefault="000343B5" w:rsidP="002B1C2E">
            <w:pPr>
              <w:pStyle w:val="Table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T</w:t>
            </w:r>
          </w:p>
        </w:tc>
      </w:tr>
    </w:tbl>
    <w:p w14:paraId="188B6A30" w14:textId="41B931F8" w:rsidR="002E7FE1" w:rsidRPr="002E7FE1" w:rsidRDefault="002E7FE1" w:rsidP="00C37109">
      <w:pPr>
        <w:pStyle w:val="Heading2"/>
      </w:pPr>
      <w:bookmarkStart w:id="254" w:name="_Toc211350027"/>
      <w:bookmarkStart w:id="255" w:name="_Toc211004847"/>
      <w:bookmarkStart w:id="256" w:name="_Toc211005312"/>
      <w:bookmarkStart w:id="257" w:name="_Toc211007714"/>
      <w:bookmarkStart w:id="258" w:name="_Toc197698561"/>
      <w:r>
        <w:t>Record Keeping</w:t>
      </w:r>
      <w:bookmarkEnd w:id="254"/>
    </w:p>
    <w:p w14:paraId="25B8C153" w14:textId="41FCC12B" w:rsidR="002E7FE1" w:rsidRPr="00C66F44" w:rsidRDefault="002E7FE1" w:rsidP="002E7FE1">
      <w:pPr>
        <w:pStyle w:val="Heading3"/>
        <w:rPr>
          <w:b/>
        </w:rPr>
      </w:pPr>
      <w:r w:rsidRPr="00E227E4">
        <w:t xml:space="preserve">Ensure that you save </w:t>
      </w:r>
      <w:r>
        <w:t>the following in a secure location:</w:t>
      </w:r>
    </w:p>
    <w:p w14:paraId="3BDD44D3" w14:textId="77777777" w:rsidR="002E7FE1" w:rsidRDefault="002E7FE1" w:rsidP="002E7FE1">
      <w:pPr>
        <w:pStyle w:val="Subpara1"/>
      </w:pPr>
      <w:r>
        <w:t xml:space="preserve">reports </w:t>
      </w:r>
      <w:r w:rsidRPr="00D10E47">
        <w:t>including breach notices and breach updates</w:t>
      </w:r>
    </w:p>
    <w:p w14:paraId="32A62AEB" w14:textId="77777777" w:rsidR="002E7FE1" w:rsidRDefault="002E7FE1" w:rsidP="002E7FE1">
      <w:pPr>
        <w:pStyle w:val="Subpara1"/>
      </w:pPr>
      <w:r>
        <w:t>investigations, files, correspondence</w:t>
      </w:r>
    </w:p>
    <w:p w14:paraId="2BC9522A" w14:textId="77777777" w:rsidR="002E7FE1" w:rsidRPr="007B0DF3" w:rsidRDefault="002E7FE1" w:rsidP="002E7FE1">
      <w:pPr>
        <w:pStyle w:val="Subpara1"/>
      </w:pPr>
      <w:r>
        <w:t>assessments and files notes</w:t>
      </w:r>
    </w:p>
    <w:p w14:paraId="355309B7" w14:textId="679A5D46" w:rsidR="00D8421C" w:rsidRDefault="00A95024" w:rsidP="00D8421C">
      <w:pPr>
        <w:pStyle w:val="Heading1"/>
        <w:rPr>
          <w:rFonts w:cstheme="minorHAnsi"/>
          <w:szCs w:val="24"/>
        </w:rPr>
      </w:pPr>
      <w:r>
        <w:br w:type="page"/>
      </w:r>
      <w:bookmarkStart w:id="259" w:name="_Toc211350028"/>
      <w:bookmarkStart w:id="260" w:name="_Toc211008193"/>
      <w:bookmarkStart w:id="261" w:name="_Toc211008592"/>
      <w:bookmarkStart w:id="262" w:name="_Toc211335666"/>
      <w:bookmarkStart w:id="263" w:name="_Toc211336492"/>
      <w:bookmarkStart w:id="264" w:name="_Toc211337017"/>
      <w:r w:rsidR="00D8421C">
        <w:rPr>
          <w:rFonts w:cstheme="minorHAnsi"/>
          <w:szCs w:val="24"/>
        </w:rPr>
        <w:lastRenderedPageBreak/>
        <w:t>Reporting and Notifications</w:t>
      </w:r>
      <w:bookmarkEnd w:id="259"/>
    </w:p>
    <w:p w14:paraId="4DA87FDB" w14:textId="77777777" w:rsidR="00D8421C" w:rsidRDefault="00D8421C" w:rsidP="00D8421C">
      <w:pPr>
        <w:pStyle w:val="Heading2"/>
      </w:pPr>
      <w:bookmarkStart w:id="265" w:name="_Toc211350029"/>
      <w:r>
        <w:t>Reasonable grounds</w:t>
      </w:r>
      <w:bookmarkEnd w:id="265"/>
    </w:p>
    <w:p w14:paraId="543DCE3F" w14:textId="77777777" w:rsidR="00D8421C" w:rsidRDefault="00D8421C" w:rsidP="00D8421C">
      <w:pPr>
        <w:pStyle w:val="Heading3"/>
      </w:pPr>
      <w:r>
        <w:t xml:space="preserve">The </w:t>
      </w:r>
      <w:r w:rsidRPr="00A37E92">
        <w:t>reporting period starts on the day you first know that, or are reckless with respect to whether, there are reasonable grounds to believe that a reportable situation has arisen.</w:t>
      </w:r>
    </w:p>
    <w:p w14:paraId="621E30FC" w14:textId="77777777" w:rsidR="00D8421C" w:rsidRDefault="00D8421C" w:rsidP="00D8421C">
      <w:pPr>
        <w:pStyle w:val="Heading3"/>
      </w:pPr>
      <w:r>
        <w:t>‘</w:t>
      </w:r>
      <w:r w:rsidRPr="00246BD7">
        <w:t>Reasonable grounds</w:t>
      </w:r>
      <w:r>
        <w:t>’</w:t>
      </w:r>
      <w:r w:rsidRPr="00246BD7">
        <w:t xml:space="preserve"> exist when there are facts or evidence to induce, in a reasonable person, a belief that a reportable situation has arisen.</w:t>
      </w:r>
      <w:r w:rsidRPr="00BA7F8C">
        <w:t xml:space="preserve"> </w:t>
      </w:r>
      <w:r>
        <w:t>You must not delay your assessment of an incident or breach.</w:t>
      </w:r>
    </w:p>
    <w:p w14:paraId="3B4A152E" w14:textId="77777777" w:rsidR="00D8421C" w:rsidRPr="001753BE" w:rsidRDefault="00D8421C" w:rsidP="00D8421C">
      <w:pPr>
        <w:pStyle w:val="Heading2"/>
      </w:pPr>
      <w:bookmarkStart w:id="266" w:name="_Toc211350030"/>
      <w:r>
        <w:t>Timeframe for reporting to ASIC</w:t>
      </w:r>
      <w:bookmarkEnd w:id="266"/>
    </w:p>
    <w:tbl>
      <w:tblPr>
        <w:tblStyle w:val="CAWhitepapertable"/>
        <w:tblW w:w="5120" w:type="pct"/>
        <w:tblLook w:val="04A0" w:firstRow="1" w:lastRow="0" w:firstColumn="1" w:lastColumn="0" w:noHBand="0" w:noVBand="1"/>
      </w:tblPr>
      <w:tblGrid>
        <w:gridCol w:w="4573"/>
        <w:gridCol w:w="5522"/>
      </w:tblGrid>
      <w:tr w:rsidR="00D8421C" w:rsidRPr="00E227E4" w14:paraId="5CAE6B9F" w14:textId="77777777" w:rsidTr="00317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41B5330" w14:textId="77777777" w:rsidR="00D8421C" w:rsidRPr="00E227E4" w:rsidRDefault="00D8421C" w:rsidP="003178D7">
            <w:pPr>
              <w:pStyle w:val="Tabletextheading"/>
              <w:rPr>
                <w:rFonts w:cstheme="minorHAnsi"/>
                <w:szCs w:val="20"/>
              </w:rPr>
            </w:pPr>
            <w:r w:rsidRPr="00E227E4">
              <w:rPr>
                <w:rFonts w:cstheme="minorHAnsi"/>
                <w:szCs w:val="20"/>
              </w:rPr>
              <w:t xml:space="preserve">Reportable Situation </w:t>
            </w:r>
          </w:p>
        </w:tc>
        <w:tc>
          <w:tcPr>
            <w:tcW w:w="2735" w:type="pct"/>
          </w:tcPr>
          <w:p w14:paraId="47532B3C" w14:textId="77777777" w:rsidR="00D8421C" w:rsidRPr="00E227E4" w:rsidRDefault="00D8421C" w:rsidP="003178D7">
            <w:pPr>
              <w:pStyle w:val="Tabletextheading"/>
              <w:cnfStyle w:val="100000000000" w:firstRow="1"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Timeframe for </w:t>
            </w:r>
            <w:r>
              <w:rPr>
                <w:rFonts w:cstheme="minorHAnsi"/>
                <w:szCs w:val="20"/>
              </w:rPr>
              <w:t>r</w:t>
            </w:r>
            <w:r w:rsidRPr="00E227E4">
              <w:rPr>
                <w:rFonts w:cstheme="minorHAnsi"/>
                <w:szCs w:val="20"/>
              </w:rPr>
              <w:t>eporting</w:t>
            </w:r>
          </w:p>
        </w:tc>
      </w:tr>
      <w:tr w:rsidR="00D8421C" w:rsidRPr="00E227E4" w14:paraId="79CBD6F9" w14:textId="77777777" w:rsidTr="003178D7">
        <w:tc>
          <w:tcPr>
            <w:cnfStyle w:val="001000000000" w:firstRow="0" w:lastRow="0" w:firstColumn="1" w:lastColumn="0" w:oddVBand="0" w:evenVBand="0" w:oddHBand="0" w:evenHBand="0" w:firstRowFirstColumn="0" w:firstRowLastColumn="0" w:lastRowFirstColumn="0" w:lastRowLastColumn="0"/>
            <w:tcW w:w="2265" w:type="pct"/>
          </w:tcPr>
          <w:p w14:paraId="2A638FE6" w14:textId="77777777" w:rsidR="00D8421C" w:rsidRPr="0094662E" w:rsidRDefault="00D8421C" w:rsidP="003178D7">
            <w:pPr>
              <w:pStyle w:val="Tabletext"/>
              <w:rPr>
                <w:rFonts w:cstheme="minorHAnsi"/>
                <w:szCs w:val="20"/>
              </w:rPr>
            </w:pPr>
            <w:r w:rsidRPr="0094662E">
              <w:rPr>
                <w:rFonts w:cstheme="minorHAnsi"/>
                <w:szCs w:val="20"/>
              </w:rPr>
              <w:t>Significant breaches or likely significant breaches of ‘core obligations.’</w:t>
            </w:r>
          </w:p>
        </w:tc>
        <w:tc>
          <w:tcPr>
            <w:tcW w:w="2735" w:type="pct"/>
          </w:tcPr>
          <w:p w14:paraId="48943BED" w14:textId="77777777" w:rsidR="00D8421C" w:rsidRPr="0094662E" w:rsidRDefault="00D8421C" w:rsidP="003178D7">
            <w:pPr>
              <w:pStyle w:val="Tablelistbulle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R</w:t>
            </w:r>
            <w:r w:rsidRPr="0094662E">
              <w:rPr>
                <w:rFonts w:cstheme="minorHAnsi"/>
                <w:szCs w:val="20"/>
              </w:rPr>
              <w:t xml:space="preserve">eport within </w:t>
            </w:r>
            <w:r w:rsidRPr="00C66F44">
              <w:t xml:space="preserve">30 calendar days after you first know that there </w:t>
            </w:r>
            <w:r>
              <w:t xml:space="preserve">are reasonable grounds to believe there </w:t>
            </w:r>
            <w:r w:rsidRPr="00C66F44">
              <w:t xml:space="preserve">is a reportable situation. </w:t>
            </w:r>
            <w:r>
              <w:t xml:space="preserve">The date on which you become aware of that it is likely a reportable situation is day one. </w:t>
            </w:r>
          </w:p>
        </w:tc>
      </w:tr>
      <w:tr w:rsidR="00D8421C" w:rsidRPr="00E227E4" w14:paraId="6E1A90C9" w14:textId="77777777" w:rsidTr="003178D7">
        <w:tc>
          <w:tcPr>
            <w:cnfStyle w:val="001000000000" w:firstRow="0" w:lastRow="0" w:firstColumn="1" w:lastColumn="0" w:oddVBand="0" w:evenVBand="0" w:oddHBand="0" w:evenHBand="0" w:firstRowFirstColumn="0" w:firstRowLastColumn="0" w:lastRowFirstColumn="0" w:lastRowLastColumn="0"/>
            <w:tcW w:w="2265" w:type="pct"/>
          </w:tcPr>
          <w:p w14:paraId="1C031388" w14:textId="77777777" w:rsidR="00D8421C" w:rsidRPr="00FD3995" w:rsidRDefault="00D8421C" w:rsidP="003178D7">
            <w:pPr>
              <w:pStyle w:val="Tabletext"/>
            </w:pPr>
            <w:r w:rsidRPr="00FD3995">
              <w:t xml:space="preserve">Investigations into significant breaches or likely significant breaches </w:t>
            </w:r>
          </w:p>
        </w:tc>
        <w:tc>
          <w:tcPr>
            <w:tcW w:w="2735" w:type="pct"/>
          </w:tcPr>
          <w:p w14:paraId="3D1112A9" w14:textId="77777777" w:rsidR="00D8421C"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FD3995">
              <w:t xml:space="preserve">If an </w:t>
            </w:r>
            <w:r w:rsidRPr="00EC2673">
              <w:t xml:space="preserve">investigation into a significant breach or likely significant breach is still ongoing for more than </w:t>
            </w:r>
            <w:r w:rsidRPr="00C66F44">
              <w:t>60 calendar days</w:t>
            </w:r>
            <w:r w:rsidRPr="00EC2673">
              <w:t xml:space="preserve"> this then becomes a reportable situation. The investigation</w:t>
            </w:r>
            <w:r>
              <w:t xml:space="preserve"> </w:t>
            </w:r>
            <w:r w:rsidRPr="00FD3995">
              <w:t xml:space="preserve">must be reported within the next </w:t>
            </w:r>
            <w:r w:rsidRPr="0014244E">
              <w:t>30 calendar days</w:t>
            </w:r>
            <w:r>
              <w:t xml:space="preserve">.  </w:t>
            </w:r>
          </w:p>
          <w:p w14:paraId="5305B775" w14:textId="77777777" w:rsidR="00D8421C" w:rsidRPr="00EC2673"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E227E4">
              <w:t xml:space="preserve">There </w:t>
            </w:r>
            <w:r w:rsidRPr="00EC2673">
              <w:t>is no timeframe to complete the investigation itself. However, it must be completed in a timely and efficient manner and without unreasonable delay.</w:t>
            </w:r>
          </w:p>
          <w:p w14:paraId="1D5BEA15" w14:textId="77777777" w:rsidR="00D8421C" w:rsidRPr="00E227E4"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EC2673">
              <w:t>As soon as the investigation identifies a reportable situation you must report this to ASIC within 30 days and not wait until the investigation</w:t>
            </w:r>
            <w:r w:rsidRPr="00E227E4">
              <w:t xml:space="preserve"> has been completed.  </w:t>
            </w:r>
          </w:p>
          <w:p w14:paraId="6A2FF4A7" w14:textId="77777777" w:rsidR="00D8421C" w:rsidRPr="00EC2673"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EC2673">
              <w:t>However, where an investigation continues for longer than 60 calendar days the outcome must be reported whether or not it was found there was a significant breach or a likely significant breach of a core obligation.</w:t>
            </w:r>
          </w:p>
          <w:p w14:paraId="4CC9A061" w14:textId="77777777" w:rsidR="00D8421C" w:rsidRPr="00FD3995"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EC2673">
              <w:t xml:space="preserve">The outcome must be reported </w:t>
            </w:r>
            <w:r w:rsidRPr="00391A5C">
              <w:t>within 30 calendar days of the</w:t>
            </w:r>
            <w:r w:rsidRPr="00EC2673">
              <w:t xml:space="preserve"> conclusion of the investigation.</w:t>
            </w:r>
          </w:p>
        </w:tc>
      </w:tr>
      <w:tr w:rsidR="00D8421C" w:rsidRPr="00E227E4" w14:paraId="02C448D6" w14:textId="77777777" w:rsidTr="003178D7">
        <w:tc>
          <w:tcPr>
            <w:cnfStyle w:val="001000000000" w:firstRow="0" w:lastRow="0" w:firstColumn="1" w:lastColumn="0" w:oddVBand="0" w:evenVBand="0" w:oddHBand="0" w:evenHBand="0" w:firstRowFirstColumn="0" w:firstRowLastColumn="0" w:lastRowFirstColumn="0" w:lastRowLastColumn="0"/>
            <w:tcW w:w="2265" w:type="pct"/>
          </w:tcPr>
          <w:p w14:paraId="0C317046" w14:textId="77777777" w:rsidR="00D8421C" w:rsidRPr="00E227E4" w:rsidRDefault="00D8421C" w:rsidP="003178D7">
            <w:pPr>
              <w:pStyle w:val="Tablelistbullet"/>
              <w:numPr>
                <w:ilvl w:val="0"/>
                <w:numId w:val="0"/>
              </w:numPr>
              <w:rPr>
                <w:rFonts w:cstheme="minorHAnsi"/>
                <w:szCs w:val="20"/>
              </w:rPr>
            </w:pPr>
            <w:r w:rsidRPr="00E227E4">
              <w:rPr>
                <w:rFonts w:cstheme="minorHAnsi"/>
                <w:szCs w:val="20"/>
              </w:rPr>
              <w:t xml:space="preserve">A reportable situation/s with underlying circumstances that are the same or substantially similar to the underlying circumstances of a reportable situation, previously reported to ASIC. </w:t>
            </w:r>
          </w:p>
        </w:tc>
        <w:tc>
          <w:tcPr>
            <w:tcW w:w="2735" w:type="pct"/>
          </w:tcPr>
          <w:p w14:paraId="5FACEDA4" w14:textId="77777777" w:rsidR="00D8421C" w:rsidRPr="00C826DE"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E227E4">
              <w:t xml:space="preserve">Must be reported </w:t>
            </w:r>
            <w:r w:rsidRPr="00C826DE">
              <w:t>within</w:t>
            </w:r>
            <w:r w:rsidRPr="00C66F44">
              <w:t xml:space="preserve"> 90 calendar days</w:t>
            </w:r>
            <w:r w:rsidRPr="00C826DE">
              <w:t>.</w:t>
            </w:r>
          </w:p>
          <w:p w14:paraId="08259FF9" w14:textId="77777777" w:rsidR="00D8421C" w:rsidRPr="00C826DE"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C826DE">
              <w:t xml:space="preserve">If further reportable situations are identified, that relate to similar, related or identical conduct and arise from the same root cause these ‘further reportable situations’ must be reported within 90 calendar days, after you first know, or are reckless with respect to whether there are grounds to believe a reportable situation has arisen. </w:t>
            </w:r>
          </w:p>
          <w:p w14:paraId="2676BC72" w14:textId="77777777" w:rsidR="00D8421C" w:rsidRPr="00C826DE"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C826DE">
              <w:t>If the original reportable situation does not yet have an ‘event complete status’ you can add to the original report as an update.</w:t>
            </w:r>
          </w:p>
          <w:p w14:paraId="3428229A" w14:textId="77777777" w:rsidR="00D8421C" w:rsidRPr="00E227E4" w:rsidRDefault="00D8421C" w:rsidP="003178D7">
            <w:pPr>
              <w:pStyle w:val="Tablelistbullet"/>
              <w:cnfStyle w:val="000000000000" w:firstRow="0" w:lastRow="0" w:firstColumn="0" w:lastColumn="0" w:oddVBand="0" w:evenVBand="0" w:oddHBand="0" w:evenHBand="0" w:firstRowFirstColumn="0" w:firstRowLastColumn="0" w:lastRowFirstColumn="0" w:lastRowLastColumn="0"/>
            </w:pPr>
            <w:r w:rsidRPr="00C826DE">
              <w:t>If the original reportable</w:t>
            </w:r>
            <w:r w:rsidRPr="00E227E4">
              <w:t xml:space="preserve"> situation </w:t>
            </w:r>
            <w:r>
              <w:t xml:space="preserve">is closed, you will submit a new report. </w:t>
            </w:r>
          </w:p>
        </w:tc>
      </w:tr>
    </w:tbl>
    <w:p w14:paraId="3F2AF9E2" w14:textId="77777777" w:rsidR="00D8421C" w:rsidRDefault="00D8421C" w:rsidP="00D8421C">
      <w:pPr>
        <w:pStyle w:val="Heading2"/>
        <w:rPr>
          <w:rFonts w:cstheme="minorHAnsi"/>
          <w:szCs w:val="24"/>
        </w:rPr>
      </w:pPr>
      <w:bookmarkStart w:id="267" w:name="_Toc211350031"/>
      <w:r>
        <w:t>Notifying clients who have suffered a loss</w:t>
      </w:r>
      <w:bookmarkEnd w:id="267"/>
      <w:r>
        <w:rPr>
          <w:rFonts w:cstheme="minorHAnsi"/>
          <w:szCs w:val="24"/>
        </w:rPr>
        <w:t xml:space="preserve"> </w:t>
      </w:r>
    </w:p>
    <w:p w14:paraId="6EC11929" w14:textId="77777777" w:rsidR="00D8421C" w:rsidRDefault="00D8421C" w:rsidP="00D8421C">
      <w:pPr>
        <w:pStyle w:val="Heading3"/>
      </w:pPr>
      <w:r w:rsidRPr="00556BE6">
        <w:t xml:space="preserve">If a reportable situation has arisen and </w:t>
      </w:r>
      <w:r>
        <w:t>you</w:t>
      </w:r>
      <w:r w:rsidRPr="00556BE6">
        <w:t xml:space="preserve"> suspect that the client has (or will) suffer loss or damage </w:t>
      </w:r>
      <w:r>
        <w:t>you</w:t>
      </w:r>
      <w:r w:rsidRPr="00556BE6">
        <w:t xml:space="preserve"> must</w:t>
      </w:r>
      <w:r>
        <w:t xml:space="preserve"> w</w:t>
      </w:r>
      <w:r w:rsidRPr="00556BE6">
        <w:t>ithin 30 days</w:t>
      </w:r>
      <w:r>
        <w:t>:</w:t>
      </w:r>
    </w:p>
    <w:p w14:paraId="00EF245F" w14:textId="77777777" w:rsidR="00D8421C" w:rsidRDefault="00D8421C" w:rsidP="00D8421C">
      <w:pPr>
        <w:pStyle w:val="Subpara1"/>
      </w:pPr>
      <w:r w:rsidRPr="00556BE6">
        <w:lastRenderedPageBreak/>
        <w:t>inform potentially affected clients; and</w:t>
      </w:r>
      <w:r>
        <w:t xml:space="preserve"> </w:t>
      </w:r>
    </w:p>
    <w:p w14:paraId="71530855" w14:textId="77777777" w:rsidR="00D8421C" w:rsidRPr="00556BE6" w:rsidRDefault="00D8421C" w:rsidP="00D8421C">
      <w:pPr>
        <w:pStyle w:val="Subpara1"/>
      </w:pPr>
      <w:r>
        <w:t>i</w:t>
      </w:r>
      <w:r w:rsidRPr="00556BE6">
        <w:t>nvestigate the full extent of any misconduct within a reasonable amount of time.</w:t>
      </w:r>
    </w:p>
    <w:p w14:paraId="19738B16" w14:textId="77777777" w:rsidR="00D8421C" w:rsidRDefault="00D8421C" w:rsidP="00D8421C">
      <w:pPr>
        <w:pStyle w:val="Heading3"/>
      </w:pPr>
      <w:r w:rsidRPr="00556BE6">
        <w:t>Once an investigation is complete</w:t>
      </w:r>
      <w:r>
        <w:t>, you must:</w:t>
      </w:r>
    </w:p>
    <w:p w14:paraId="00AB80B8" w14:textId="53D06268" w:rsidR="00D8421C" w:rsidRDefault="00D8421C" w:rsidP="00D8421C">
      <w:pPr>
        <w:pStyle w:val="Subpara1"/>
      </w:pPr>
      <w:r>
        <w:t xml:space="preserve">Within </w:t>
      </w:r>
      <w:r w:rsidR="00AC6CE0">
        <w:t xml:space="preserve">10 days </w:t>
      </w:r>
      <w:r w:rsidRPr="00556BE6">
        <w:t>inform affected clients; and</w:t>
      </w:r>
      <w:r>
        <w:t xml:space="preserve"> </w:t>
      </w:r>
    </w:p>
    <w:p w14:paraId="4E75CF63" w14:textId="77777777" w:rsidR="00D8421C" w:rsidRDefault="00D8421C" w:rsidP="00D8421C">
      <w:pPr>
        <w:pStyle w:val="Subpara1"/>
      </w:pPr>
      <w:r>
        <w:t>W</w:t>
      </w:r>
      <w:r w:rsidRPr="00556BE6">
        <w:t>ithin 30 days, remediate their loss.</w:t>
      </w:r>
    </w:p>
    <w:p w14:paraId="75A26BC7" w14:textId="63E6CCB5" w:rsidR="00DE4114" w:rsidRPr="00DE4114" w:rsidRDefault="0038367F" w:rsidP="00866299">
      <w:pPr>
        <w:pStyle w:val="Heading2"/>
      </w:pPr>
      <w:bookmarkStart w:id="268" w:name="_Toc211347234"/>
      <w:bookmarkStart w:id="269" w:name="_Toc211347675"/>
      <w:bookmarkStart w:id="270" w:name="_Toc211348598"/>
      <w:bookmarkStart w:id="271" w:name="_Toc211349039"/>
      <w:bookmarkStart w:id="272" w:name="_Toc211350032"/>
      <w:bookmarkStart w:id="273" w:name="_Toc211004737"/>
      <w:bookmarkStart w:id="274" w:name="_Toc211350033"/>
      <w:bookmarkEnd w:id="255"/>
      <w:bookmarkEnd w:id="256"/>
      <w:bookmarkEnd w:id="257"/>
      <w:bookmarkEnd w:id="258"/>
      <w:bookmarkEnd w:id="260"/>
      <w:bookmarkEnd w:id="261"/>
      <w:bookmarkEnd w:id="262"/>
      <w:bookmarkEnd w:id="263"/>
      <w:bookmarkEnd w:id="264"/>
      <w:bookmarkEnd w:id="268"/>
      <w:bookmarkEnd w:id="269"/>
      <w:bookmarkEnd w:id="270"/>
      <w:bookmarkEnd w:id="271"/>
      <w:bookmarkEnd w:id="272"/>
      <w:bookmarkEnd w:id="273"/>
      <w:r>
        <w:t>How to lodge a reportable situation on the Regulatory Portal</w:t>
      </w:r>
      <w:bookmarkEnd w:id="274"/>
    </w:p>
    <w:p w14:paraId="70A63675" w14:textId="76A1B69E" w:rsidR="006319D6" w:rsidRPr="00E227E4" w:rsidRDefault="005376F0" w:rsidP="00C37109">
      <w:pPr>
        <w:pStyle w:val="Heading3"/>
      </w:pPr>
      <w:r w:rsidRPr="00E227E4">
        <w:t xml:space="preserve">The following table sets out the steps that need be taken by the Licensee to submit a Reportable Situation to ASIC via the ASIC Regulatory Portal. </w:t>
      </w:r>
    </w:p>
    <w:tbl>
      <w:tblPr>
        <w:tblStyle w:val="CAWhitepapertable"/>
        <w:tblW w:w="5120" w:type="pct"/>
        <w:tblLook w:val="04A0" w:firstRow="1" w:lastRow="0" w:firstColumn="1" w:lastColumn="0" w:noHBand="0" w:noVBand="1"/>
      </w:tblPr>
      <w:tblGrid>
        <w:gridCol w:w="3897"/>
        <w:gridCol w:w="6198"/>
      </w:tblGrid>
      <w:tr w:rsidR="00E75A06" w:rsidRPr="00E227E4" w14:paraId="52787E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pct"/>
          </w:tcPr>
          <w:p w14:paraId="4404208D" w14:textId="77777777" w:rsidR="00E75A06" w:rsidRPr="00E227E4" w:rsidRDefault="00E75A06">
            <w:pPr>
              <w:pStyle w:val="Tabletextheading"/>
              <w:rPr>
                <w:rFonts w:cstheme="minorHAnsi"/>
                <w:szCs w:val="20"/>
              </w:rPr>
            </w:pPr>
            <w:r w:rsidRPr="00E227E4">
              <w:rPr>
                <w:rFonts w:cstheme="minorHAnsi"/>
                <w:szCs w:val="20"/>
              </w:rPr>
              <w:t>Step</w:t>
            </w:r>
          </w:p>
        </w:tc>
        <w:tc>
          <w:tcPr>
            <w:tcW w:w="3070" w:type="pct"/>
          </w:tcPr>
          <w:p w14:paraId="6D618D59" w14:textId="77777777" w:rsidR="00E75A06" w:rsidRPr="00E227E4" w:rsidRDefault="00E75A06">
            <w:pPr>
              <w:pStyle w:val="Tabletextheading"/>
              <w:cnfStyle w:val="100000000000" w:firstRow="1"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Description</w:t>
            </w:r>
          </w:p>
        </w:tc>
      </w:tr>
      <w:tr w:rsidR="009A0866" w:rsidRPr="00E227E4" w14:paraId="4DB3CC46" w14:textId="77777777" w:rsidTr="009A0866">
        <w:tc>
          <w:tcPr>
            <w:cnfStyle w:val="001000000000" w:firstRow="0" w:lastRow="0" w:firstColumn="1" w:lastColumn="0" w:oddVBand="0" w:evenVBand="0" w:oddHBand="0" w:evenHBand="0" w:firstRowFirstColumn="0" w:firstRowLastColumn="0" w:lastRowFirstColumn="0" w:lastRowLastColumn="0"/>
            <w:tcW w:w="5000" w:type="pct"/>
            <w:gridSpan w:val="2"/>
          </w:tcPr>
          <w:p w14:paraId="6CDF4DAD" w14:textId="05956F76" w:rsidR="009A0866" w:rsidRPr="009A0866" w:rsidRDefault="009A0866" w:rsidP="00C37109">
            <w:pPr>
              <w:pStyle w:val="Tablenotenumbers"/>
              <w:numPr>
                <w:ilvl w:val="1"/>
                <w:numId w:val="65"/>
              </w:numPr>
              <w:rPr>
                <w:rFonts w:cstheme="minorHAnsi"/>
                <w:szCs w:val="20"/>
              </w:rPr>
            </w:pPr>
            <w:r w:rsidRPr="00E227E4">
              <w:t>Create a Transaction Group for a Reportable Situation Event</w:t>
            </w:r>
          </w:p>
        </w:tc>
      </w:tr>
      <w:tr w:rsidR="00E75A06" w:rsidRPr="00E227E4" w14:paraId="29DE8348" w14:textId="77777777">
        <w:tc>
          <w:tcPr>
            <w:cnfStyle w:val="001000000000" w:firstRow="0" w:lastRow="0" w:firstColumn="1" w:lastColumn="0" w:oddVBand="0" w:evenVBand="0" w:oddHBand="0" w:evenHBand="0" w:firstRowFirstColumn="0" w:firstRowLastColumn="0" w:lastRowFirstColumn="0" w:lastRowLastColumn="0"/>
            <w:tcW w:w="1930" w:type="pct"/>
            <w:shd w:val="clear" w:color="auto" w:fill="FFFFFF" w:themeFill="background1"/>
          </w:tcPr>
          <w:p w14:paraId="2B4C5CB5" w14:textId="77777777" w:rsidR="00E75A06" w:rsidRPr="00E227E4" w:rsidRDefault="00A74298">
            <w:pPr>
              <w:pStyle w:val="Tabletext"/>
              <w:rPr>
                <w:rFonts w:cstheme="minorHAnsi"/>
                <w:szCs w:val="20"/>
              </w:rPr>
            </w:pPr>
            <w:r w:rsidRPr="00E227E4">
              <w:rPr>
                <w:rFonts w:cstheme="minorHAnsi"/>
                <w:szCs w:val="20"/>
              </w:rPr>
              <w:t>A transaction group is essentially a folder that will allow you to submit, house and manage all transactions that are relevant to one event</w:t>
            </w:r>
            <w:r w:rsidR="00D26542" w:rsidRPr="00E227E4">
              <w:rPr>
                <w:rFonts w:cstheme="minorHAnsi"/>
                <w:szCs w:val="20"/>
              </w:rPr>
              <w:t xml:space="preserve">. This includes the initial transaction, subsequent updates and the final transaction. </w:t>
            </w:r>
          </w:p>
          <w:p w14:paraId="05B07EF6" w14:textId="07DB691F" w:rsidR="005A522F" w:rsidRPr="00E227E4" w:rsidRDefault="005A522F">
            <w:pPr>
              <w:pStyle w:val="Tabletext"/>
              <w:rPr>
                <w:rFonts w:cstheme="minorHAnsi"/>
                <w:szCs w:val="20"/>
              </w:rPr>
            </w:pPr>
          </w:p>
        </w:tc>
        <w:tc>
          <w:tcPr>
            <w:tcW w:w="3070" w:type="pct"/>
            <w:shd w:val="clear" w:color="auto" w:fill="FFFFFF" w:themeFill="background1"/>
          </w:tcPr>
          <w:p w14:paraId="5EB106C1" w14:textId="77777777" w:rsidR="00E75A06" w:rsidRPr="00E227E4" w:rsidRDefault="00B34D3C"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 xml:space="preserve">Login to the ASIC Regulatory Portal </w:t>
            </w:r>
          </w:p>
          <w:p w14:paraId="49643F90" w14:textId="3A6B81C9" w:rsidR="00972C4C" w:rsidRPr="00E227E4" w:rsidRDefault="00972C4C"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 xml:space="preserve">Select the </w:t>
            </w:r>
            <w:r w:rsidR="00BC083F" w:rsidRPr="00E227E4">
              <w:t>AFSL entity name</w:t>
            </w:r>
          </w:p>
          <w:p w14:paraId="75DC9214" w14:textId="37A25E91" w:rsidR="003C077F" w:rsidRPr="00E227E4" w:rsidRDefault="00247BFA"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Click on ‘Transaction Groups</w:t>
            </w:r>
            <w:r w:rsidR="00E76782" w:rsidRPr="00E227E4">
              <w:t xml:space="preserve">’ </w:t>
            </w:r>
            <w:r w:rsidR="00AE1E31" w:rsidRPr="00E227E4">
              <w:t>in the tool bar and select</w:t>
            </w:r>
          </w:p>
          <w:p w14:paraId="455DE031" w14:textId="59B66B6B" w:rsidR="00E76782" w:rsidRPr="00E227E4" w:rsidRDefault="00E76782"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‘View all reportable situation event</w:t>
            </w:r>
            <w:r w:rsidR="006B2742" w:rsidRPr="00E227E4">
              <w:t>s’</w:t>
            </w:r>
          </w:p>
          <w:p w14:paraId="1E870A04" w14:textId="77777777" w:rsidR="006B2742" w:rsidRPr="00E227E4" w:rsidRDefault="006B2742"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Click on + Create reportable situation event</w:t>
            </w:r>
          </w:p>
          <w:p w14:paraId="37608648" w14:textId="13E517CB" w:rsidR="004F3DA6" w:rsidRPr="00E227E4" w:rsidRDefault="006D1433"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 xml:space="preserve">Add an appropriate title for the </w:t>
            </w:r>
            <w:r w:rsidR="00380770" w:rsidRPr="00E227E4">
              <w:t>Transaction Group</w:t>
            </w:r>
            <w:r w:rsidR="00797EBD" w:rsidRPr="00E227E4">
              <w:t xml:space="preserve">. I.e. </w:t>
            </w:r>
            <w:r w:rsidR="00383899" w:rsidRPr="00E227E4">
              <w:t xml:space="preserve">you </w:t>
            </w:r>
            <w:r w:rsidR="00D51AB7" w:rsidRPr="00E227E4">
              <w:t>may</w:t>
            </w:r>
            <w:r w:rsidR="00383899" w:rsidRPr="00E227E4">
              <w:t xml:space="preserve"> utilise</w:t>
            </w:r>
            <w:r w:rsidR="004F3DA6" w:rsidRPr="00E227E4">
              <w:t xml:space="preserve"> the</w:t>
            </w:r>
            <w:r w:rsidR="00383899" w:rsidRPr="00E227E4">
              <w:t xml:space="preserve"> reference number </w:t>
            </w:r>
            <w:r w:rsidR="00897087" w:rsidRPr="00E227E4">
              <w:t xml:space="preserve">and client name recorded </w:t>
            </w:r>
            <w:r w:rsidR="00383899" w:rsidRPr="00E227E4">
              <w:t>on the Licensee Breach Register</w:t>
            </w:r>
            <w:r w:rsidR="00897087" w:rsidRPr="00E227E4">
              <w:t>.</w:t>
            </w:r>
            <w:r w:rsidR="004F3DA6" w:rsidRPr="00E227E4">
              <w:t xml:space="preserve"> Once </w:t>
            </w:r>
            <w:r w:rsidR="0039569F" w:rsidRPr="00E227E4">
              <w:t xml:space="preserve">complete, click ‘next’ </w:t>
            </w:r>
          </w:p>
          <w:p w14:paraId="3734ED06" w14:textId="77777777" w:rsidR="00380770" w:rsidRPr="00E227E4" w:rsidRDefault="007F08F0"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Set access restrictions for the event</w:t>
            </w:r>
          </w:p>
          <w:p w14:paraId="7A50153D" w14:textId="6702E9BC" w:rsidR="00132967" w:rsidRPr="00E227E4" w:rsidRDefault="000A0160"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To restrict access to users connected to the licensee entity select ‘yes – restrict access’ and follow the prompts</w:t>
            </w:r>
            <w:r w:rsidR="00FE60D9" w:rsidRPr="00E227E4">
              <w:t xml:space="preserve">. If you do not wish to </w:t>
            </w:r>
            <w:r w:rsidR="008F5488" w:rsidRPr="00E227E4">
              <w:t xml:space="preserve">restrict </w:t>
            </w:r>
            <w:r w:rsidR="002C7D46" w:rsidRPr="00E227E4">
              <w:t>access,</w:t>
            </w:r>
            <w:r w:rsidR="00EE21D9" w:rsidRPr="00E227E4">
              <w:t xml:space="preserve"> then select ‘No -</w:t>
            </w:r>
            <w:r w:rsidR="00457A46">
              <w:t xml:space="preserve"> </w:t>
            </w:r>
            <w:r w:rsidR="00EE21D9" w:rsidRPr="00E227E4">
              <w:t xml:space="preserve">allow access.’ </w:t>
            </w:r>
          </w:p>
          <w:p w14:paraId="32094D12" w14:textId="38793B16" w:rsidR="00DA7142" w:rsidRPr="00E227E4" w:rsidRDefault="00864313" w:rsidP="00C37109">
            <w:pPr>
              <w:pStyle w:val="Tablelistbullet"/>
              <w:numPr>
                <w:ilvl w:val="0"/>
                <w:numId w:val="58"/>
              </w:numPr>
              <w:cnfStyle w:val="000000000000" w:firstRow="0" w:lastRow="0" w:firstColumn="0" w:lastColumn="0" w:oddVBand="0" w:evenVBand="0" w:oddHBand="0" w:evenHBand="0" w:firstRowFirstColumn="0" w:firstRowLastColumn="0" w:lastRowFirstColumn="0" w:lastRowLastColumn="0"/>
            </w:pPr>
            <w:r w:rsidRPr="00E227E4">
              <w:t xml:space="preserve">Click on ‘Submit/update reportable situation by licensee.’ This will </w:t>
            </w:r>
            <w:r w:rsidR="001E7816">
              <w:t>l</w:t>
            </w:r>
            <w:r w:rsidRPr="00E227E4">
              <w:t>aunch the transaction.</w:t>
            </w:r>
            <w:r w:rsidR="00CD2485" w:rsidRPr="00E227E4">
              <w:t xml:space="preserve"> </w:t>
            </w:r>
          </w:p>
        </w:tc>
      </w:tr>
      <w:tr w:rsidR="009A0866" w:rsidRPr="00E227E4" w14:paraId="3AD999C8" w14:textId="77777777" w:rsidTr="009A0866">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FBFBF" w:themeFill="background1" w:themeFillShade="BF"/>
          </w:tcPr>
          <w:p w14:paraId="3FF526AD" w14:textId="43B18553" w:rsidR="009A0866" w:rsidRPr="00E227E4" w:rsidRDefault="009A0866" w:rsidP="00C37109">
            <w:pPr>
              <w:pStyle w:val="Tablenotenumbers"/>
              <w:rPr>
                <w:rFonts w:cstheme="minorHAnsi"/>
                <w:szCs w:val="20"/>
              </w:rPr>
            </w:pPr>
            <w:r w:rsidRPr="00E227E4">
              <w:t>Complete Breach Report</w:t>
            </w:r>
          </w:p>
        </w:tc>
      </w:tr>
      <w:tr w:rsidR="008954DE" w:rsidRPr="00E227E4" w14:paraId="0F334804" w14:textId="77777777">
        <w:tc>
          <w:tcPr>
            <w:cnfStyle w:val="001000000000" w:firstRow="0" w:lastRow="0" w:firstColumn="1" w:lastColumn="0" w:oddVBand="0" w:evenVBand="0" w:oddHBand="0" w:evenHBand="0" w:firstRowFirstColumn="0" w:firstRowLastColumn="0" w:lastRowFirstColumn="0" w:lastRowLastColumn="0"/>
            <w:tcW w:w="1930" w:type="pct"/>
            <w:shd w:val="clear" w:color="auto" w:fill="FFFFFF" w:themeFill="background1"/>
          </w:tcPr>
          <w:p w14:paraId="5ACA0D5C" w14:textId="6FFFF66B" w:rsidR="008954DE" w:rsidRPr="00E227E4" w:rsidRDefault="00394275">
            <w:pPr>
              <w:pStyle w:val="Tabletext"/>
              <w:rPr>
                <w:rFonts w:cstheme="minorHAnsi"/>
                <w:szCs w:val="20"/>
              </w:rPr>
            </w:pPr>
            <w:r w:rsidRPr="00E227E4">
              <w:rPr>
                <w:rFonts w:cstheme="minorHAnsi"/>
                <w:szCs w:val="20"/>
              </w:rPr>
              <w:t>Ensure that you have the Licensee Breach Register open to assist in</w:t>
            </w:r>
            <w:r w:rsidR="00852349" w:rsidRPr="00E227E4">
              <w:rPr>
                <w:rFonts w:cstheme="minorHAnsi"/>
                <w:szCs w:val="20"/>
              </w:rPr>
              <w:t xml:space="preserve"> answering the questions</w:t>
            </w:r>
            <w:r w:rsidRPr="00E227E4">
              <w:rPr>
                <w:rFonts w:cstheme="minorHAnsi"/>
                <w:szCs w:val="20"/>
              </w:rPr>
              <w:t>.</w:t>
            </w:r>
          </w:p>
        </w:tc>
        <w:tc>
          <w:tcPr>
            <w:tcW w:w="3070" w:type="pct"/>
            <w:shd w:val="clear" w:color="auto" w:fill="FFFFFF" w:themeFill="background1"/>
          </w:tcPr>
          <w:p w14:paraId="7E02F3E0" w14:textId="54C3266A" w:rsidR="008954DE" w:rsidRPr="00E227E4" w:rsidRDefault="008954DE" w:rsidP="006A2074">
            <w:pPr>
              <w:pStyle w:val="Tablelistbullet"/>
              <w:numPr>
                <w:ilvl w:val="0"/>
                <w:numId w:val="61"/>
              </w:numPr>
              <w:cnfStyle w:val="000000000000" w:firstRow="0" w:lastRow="0" w:firstColumn="0" w:lastColumn="0" w:oddVBand="0" w:evenVBand="0" w:oddHBand="0" w:evenHBand="0" w:firstRowFirstColumn="0" w:firstRowLastColumn="0" w:lastRowFirstColumn="0" w:lastRowLastColumn="0"/>
            </w:pPr>
            <w:r w:rsidRPr="00E227E4">
              <w:t>Once the transaction is launched, complete all questions within the portal</w:t>
            </w:r>
          </w:p>
          <w:p w14:paraId="089580A4" w14:textId="5DA59CA1" w:rsidR="00EF5D84" w:rsidRPr="00E227E4" w:rsidRDefault="008954DE" w:rsidP="006A2074">
            <w:pPr>
              <w:pStyle w:val="Tablelistbullet"/>
              <w:numPr>
                <w:ilvl w:val="0"/>
                <w:numId w:val="61"/>
              </w:numPr>
              <w:cnfStyle w:val="000000000000" w:firstRow="0" w:lastRow="0" w:firstColumn="0" w:lastColumn="0" w:oddVBand="0" w:evenVBand="0" w:oddHBand="0" w:evenHBand="0" w:firstRowFirstColumn="0" w:firstRowLastColumn="0" w:lastRowFirstColumn="0" w:lastRowLastColumn="0"/>
            </w:pPr>
            <w:r w:rsidRPr="00E227E4">
              <w:t>Once completed submit the breach and save</w:t>
            </w:r>
          </w:p>
          <w:p w14:paraId="146F5C44" w14:textId="49D4BD23" w:rsidR="008954DE" w:rsidRPr="00E227E4" w:rsidRDefault="008954DE" w:rsidP="006A2074">
            <w:pPr>
              <w:pStyle w:val="Tablelistbullet"/>
              <w:numPr>
                <w:ilvl w:val="0"/>
                <w:numId w:val="61"/>
              </w:numPr>
              <w:cnfStyle w:val="000000000000" w:firstRow="0" w:lastRow="0" w:firstColumn="0" w:lastColumn="0" w:oddVBand="0" w:evenVBand="0" w:oddHBand="0" w:evenHBand="0" w:firstRowFirstColumn="0" w:firstRowLastColumn="0" w:lastRowFirstColumn="0" w:lastRowLastColumn="0"/>
            </w:pPr>
            <w:r w:rsidRPr="00E227E4">
              <w:t>Reopen the breach and download the PDF and save a copy</w:t>
            </w:r>
          </w:p>
        </w:tc>
      </w:tr>
      <w:tr w:rsidR="009A0866" w:rsidRPr="00E227E4" w14:paraId="7E95292F" w14:textId="77777777" w:rsidTr="009A0866">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9C9C9"/>
          </w:tcPr>
          <w:p w14:paraId="7EF0FFE0" w14:textId="499D170F" w:rsidR="009A0866" w:rsidRPr="00E227E4" w:rsidRDefault="009A0866" w:rsidP="006A2074">
            <w:pPr>
              <w:pStyle w:val="Tablenotenumbers"/>
              <w:rPr>
                <w:rFonts w:cstheme="minorHAnsi"/>
                <w:szCs w:val="20"/>
              </w:rPr>
            </w:pPr>
            <w:r w:rsidRPr="00E227E4">
              <w:t>Submit an Update to a Reportable Situation Event</w:t>
            </w:r>
          </w:p>
        </w:tc>
      </w:tr>
      <w:tr w:rsidR="00E75A06" w:rsidRPr="00E227E4" w14:paraId="7DE7BFCF" w14:textId="77777777">
        <w:tc>
          <w:tcPr>
            <w:cnfStyle w:val="001000000000" w:firstRow="0" w:lastRow="0" w:firstColumn="1" w:lastColumn="0" w:oddVBand="0" w:evenVBand="0" w:oddHBand="0" w:evenHBand="0" w:firstRowFirstColumn="0" w:firstRowLastColumn="0" w:lastRowFirstColumn="0" w:lastRowLastColumn="0"/>
            <w:tcW w:w="1930" w:type="pct"/>
            <w:shd w:val="clear" w:color="auto" w:fill="FFFFFF" w:themeFill="background1"/>
          </w:tcPr>
          <w:p w14:paraId="7FE3A943" w14:textId="2958C6C8" w:rsidR="00E85BCB" w:rsidRPr="00E227E4" w:rsidRDefault="00E85BCB">
            <w:pPr>
              <w:pStyle w:val="Tabletext"/>
              <w:rPr>
                <w:rFonts w:cstheme="minorHAnsi"/>
                <w:szCs w:val="20"/>
              </w:rPr>
            </w:pPr>
            <w:r w:rsidRPr="00E227E4">
              <w:rPr>
                <w:rFonts w:cstheme="minorHAnsi"/>
                <w:szCs w:val="20"/>
              </w:rPr>
              <w:t>When submitting subsequent transactions</w:t>
            </w:r>
            <w:r w:rsidR="00716421">
              <w:rPr>
                <w:rFonts w:cstheme="minorHAnsi"/>
                <w:szCs w:val="20"/>
              </w:rPr>
              <w:t>,</w:t>
            </w:r>
            <w:r w:rsidRPr="00E227E4">
              <w:rPr>
                <w:rFonts w:cstheme="minorHAnsi"/>
                <w:szCs w:val="20"/>
              </w:rPr>
              <w:t xml:space="preserve"> under a reportable situation event</w:t>
            </w:r>
            <w:r w:rsidR="00716421">
              <w:rPr>
                <w:rFonts w:cstheme="minorHAnsi"/>
                <w:szCs w:val="20"/>
              </w:rPr>
              <w:t>,</w:t>
            </w:r>
            <w:r w:rsidRPr="00E227E4">
              <w:rPr>
                <w:rFonts w:cstheme="minorHAnsi"/>
                <w:szCs w:val="20"/>
              </w:rPr>
              <w:t xml:space="preserve"> the information entered in previous transactions</w:t>
            </w:r>
            <w:r w:rsidR="00EA4B73">
              <w:rPr>
                <w:rFonts w:cstheme="minorHAnsi"/>
                <w:szCs w:val="20"/>
              </w:rPr>
              <w:t>,</w:t>
            </w:r>
            <w:r w:rsidRPr="00E227E4">
              <w:rPr>
                <w:rFonts w:cstheme="minorHAnsi"/>
                <w:szCs w:val="20"/>
              </w:rPr>
              <w:t xml:space="preserve"> will be carried across to these subsequent transactions.</w:t>
            </w:r>
          </w:p>
          <w:p w14:paraId="739AAC91" w14:textId="77777777" w:rsidR="00E85BCB" w:rsidRPr="00E227E4" w:rsidRDefault="00E85BCB">
            <w:pPr>
              <w:pStyle w:val="Tabletext"/>
              <w:rPr>
                <w:rFonts w:cstheme="minorHAnsi"/>
                <w:szCs w:val="20"/>
              </w:rPr>
            </w:pPr>
          </w:p>
          <w:p w14:paraId="69493122" w14:textId="77777777" w:rsidR="00F908FA" w:rsidRDefault="005F6082">
            <w:pPr>
              <w:pStyle w:val="Tabletext"/>
              <w:rPr>
                <w:rFonts w:cstheme="minorHAnsi"/>
                <w:szCs w:val="20"/>
              </w:rPr>
            </w:pPr>
            <w:r w:rsidRPr="00E227E4">
              <w:rPr>
                <w:rFonts w:cstheme="minorHAnsi"/>
                <w:szCs w:val="20"/>
              </w:rPr>
              <w:t>This will generally be required to</w:t>
            </w:r>
            <w:r w:rsidR="00F908FA">
              <w:rPr>
                <w:rFonts w:cstheme="minorHAnsi"/>
                <w:szCs w:val="20"/>
              </w:rPr>
              <w:t>:</w:t>
            </w:r>
          </w:p>
          <w:p w14:paraId="230D5404" w14:textId="5C8B90A9" w:rsidR="00F908FA" w:rsidRDefault="005F6082" w:rsidP="006A2074">
            <w:pPr>
              <w:pStyle w:val="Tablelistbullet"/>
            </w:pPr>
            <w:r w:rsidRPr="00E227E4">
              <w:t>notify ASIC that the remediation for a breach is complete</w:t>
            </w:r>
            <w:r w:rsidR="00F908FA">
              <w:t>;</w:t>
            </w:r>
          </w:p>
          <w:p w14:paraId="2CDD1C98" w14:textId="0345C1D2" w:rsidR="007E0412" w:rsidRDefault="00B82AB8" w:rsidP="006A2074">
            <w:pPr>
              <w:pStyle w:val="Tablelistbullet"/>
            </w:pPr>
            <w:r w:rsidRPr="00E227E4">
              <w:t>notify ASIC that the breach has expanded, as additional items have been identified</w:t>
            </w:r>
            <w:r w:rsidR="007E0412">
              <w:t>; or</w:t>
            </w:r>
          </w:p>
          <w:p w14:paraId="3B59F72C" w14:textId="22B67AFF" w:rsidR="00E75A06" w:rsidRPr="00E227E4" w:rsidRDefault="00B82AB8" w:rsidP="006A2074">
            <w:pPr>
              <w:pStyle w:val="Tablelistbullet"/>
            </w:pPr>
            <w:r w:rsidRPr="00E227E4">
              <w:lastRenderedPageBreak/>
              <w:t xml:space="preserve">remediation is now overdue, </w:t>
            </w:r>
            <w:r w:rsidR="001F7D62" w:rsidRPr="00E227E4">
              <w:t xml:space="preserve">however, is in progress for completion by a new date. </w:t>
            </w:r>
          </w:p>
        </w:tc>
        <w:tc>
          <w:tcPr>
            <w:tcW w:w="3070" w:type="pct"/>
            <w:shd w:val="clear" w:color="auto" w:fill="FFFFFF" w:themeFill="background1"/>
          </w:tcPr>
          <w:p w14:paraId="062C795E" w14:textId="5672DFB6" w:rsidR="00972C4C" w:rsidRPr="00E227E4" w:rsidRDefault="00972C4C"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lastRenderedPageBreak/>
              <w:t>Login to the ASIC Regulatory Portal</w:t>
            </w:r>
          </w:p>
          <w:p w14:paraId="7E131896" w14:textId="5256DD8A" w:rsidR="00972C4C" w:rsidRPr="00E227E4" w:rsidRDefault="00972C4C"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Select the </w:t>
            </w:r>
            <w:r w:rsidR="00BC083F" w:rsidRPr="00E227E4">
              <w:rPr>
                <w:rFonts w:cstheme="minorHAnsi"/>
                <w:szCs w:val="20"/>
              </w:rPr>
              <w:t>AFSL entity name</w:t>
            </w:r>
          </w:p>
          <w:p w14:paraId="1672B36A" w14:textId="38AE0CFA" w:rsidR="00E75A06" w:rsidRPr="00E227E4" w:rsidRDefault="00955D84"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Find the original reportable situation event through the ‘Transaction groups’ tab </w:t>
            </w:r>
            <w:r w:rsidR="004E40BB" w:rsidRPr="00E227E4">
              <w:rPr>
                <w:rFonts w:cstheme="minorHAnsi"/>
                <w:szCs w:val="20"/>
              </w:rPr>
              <w:t xml:space="preserve">on the top right-hand side </w:t>
            </w:r>
            <w:r w:rsidRPr="00E227E4">
              <w:rPr>
                <w:rFonts w:cstheme="minorHAnsi"/>
                <w:szCs w:val="20"/>
              </w:rPr>
              <w:t>and ‘View all reportable situation events</w:t>
            </w:r>
            <w:r w:rsidR="00262952" w:rsidRPr="00E227E4">
              <w:rPr>
                <w:rFonts w:cstheme="minorHAnsi"/>
                <w:szCs w:val="20"/>
              </w:rPr>
              <w:t>’</w:t>
            </w:r>
          </w:p>
          <w:p w14:paraId="15A0F573" w14:textId="3F214B91" w:rsidR="00EF07ED" w:rsidRPr="00E227E4" w:rsidRDefault="00C8128D"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 xml:space="preserve">Locate the </w:t>
            </w:r>
            <w:r w:rsidR="004305E0" w:rsidRPr="00E227E4">
              <w:rPr>
                <w:rFonts w:cstheme="minorHAnsi"/>
                <w:szCs w:val="20"/>
              </w:rPr>
              <w:t>‘</w:t>
            </w:r>
            <w:r w:rsidRPr="00E227E4">
              <w:rPr>
                <w:rFonts w:cstheme="minorHAnsi"/>
                <w:szCs w:val="20"/>
              </w:rPr>
              <w:t>Reportable Situation</w:t>
            </w:r>
            <w:r w:rsidR="004305E0" w:rsidRPr="00E227E4">
              <w:rPr>
                <w:rFonts w:cstheme="minorHAnsi"/>
                <w:szCs w:val="20"/>
              </w:rPr>
              <w:t xml:space="preserve"> </w:t>
            </w:r>
            <w:r w:rsidRPr="00E227E4">
              <w:rPr>
                <w:rFonts w:cstheme="minorHAnsi"/>
                <w:szCs w:val="20"/>
              </w:rPr>
              <w:t>Event</w:t>
            </w:r>
            <w:r w:rsidR="004305E0" w:rsidRPr="00E227E4">
              <w:rPr>
                <w:rFonts w:cstheme="minorHAnsi"/>
                <w:szCs w:val="20"/>
              </w:rPr>
              <w:t>’</w:t>
            </w:r>
            <w:r w:rsidRPr="00E227E4">
              <w:rPr>
                <w:rFonts w:cstheme="minorHAnsi"/>
                <w:szCs w:val="20"/>
              </w:rPr>
              <w:t xml:space="preserve"> by s</w:t>
            </w:r>
            <w:r w:rsidR="00717876" w:rsidRPr="00E227E4">
              <w:rPr>
                <w:rFonts w:cstheme="minorHAnsi"/>
                <w:szCs w:val="20"/>
              </w:rPr>
              <w:t>earch</w:t>
            </w:r>
            <w:r w:rsidR="009418C9" w:rsidRPr="00E227E4">
              <w:rPr>
                <w:rFonts w:cstheme="minorHAnsi"/>
                <w:szCs w:val="20"/>
              </w:rPr>
              <w:t>ing</w:t>
            </w:r>
            <w:r w:rsidR="00717876" w:rsidRPr="00E227E4">
              <w:rPr>
                <w:rFonts w:cstheme="minorHAnsi"/>
                <w:szCs w:val="20"/>
              </w:rPr>
              <w:t xml:space="preserve"> for the Event, using </w:t>
            </w:r>
            <w:r w:rsidR="00EF07ED" w:rsidRPr="00E227E4">
              <w:rPr>
                <w:rFonts w:cstheme="minorHAnsi"/>
                <w:szCs w:val="20"/>
              </w:rPr>
              <w:t>search terms, such as the ‘title</w:t>
            </w:r>
            <w:r w:rsidRPr="00E227E4">
              <w:rPr>
                <w:rFonts w:cstheme="minorHAnsi"/>
                <w:szCs w:val="20"/>
              </w:rPr>
              <w:t xml:space="preserve">’ </w:t>
            </w:r>
            <w:r w:rsidR="009418C9" w:rsidRPr="00E227E4">
              <w:rPr>
                <w:rFonts w:cstheme="minorHAnsi"/>
                <w:szCs w:val="20"/>
              </w:rPr>
              <w:t xml:space="preserve">or locate the event in the ‘Reportable </w:t>
            </w:r>
            <w:r w:rsidR="00583E0D">
              <w:rPr>
                <w:rFonts w:cstheme="minorHAnsi"/>
                <w:szCs w:val="20"/>
              </w:rPr>
              <w:t>S</w:t>
            </w:r>
            <w:r w:rsidR="009418C9" w:rsidRPr="00E227E4">
              <w:rPr>
                <w:rFonts w:cstheme="minorHAnsi"/>
                <w:szCs w:val="20"/>
              </w:rPr>
              <w:t xml:space="preserve">ituation </w:t>
            </w:r>
            <w:r w:rsidR="00583E0D">
              <w:rPr>
                <w:rFonts w:cstheme="minorHAnsi"/>
                <w:szCs w:val="20"/>
              </w:rPr>
              <w:t>E</w:t>
            </w:r>
            <w:r w:rsidR="009418C9" w:rsidRPr="00E227E4">
              <w:rPr>
                <w:rFonts w:cstheme="minorHAnsi"/>
                <w:szCs w:val="20"/>
              </w:rPr>
              <w:t xml:space="preserve">vents’ table below the search fields. </w:t>
            </w:r>
          </w:p>
          <w:p w14:paraId="7E721791" w14:textId="0518F6DB" w:rsidR="009418C9" w:rsidRPr="00A2670C" w:rsidRDefault="009418C9"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A2670C">
              <w:rPr>
                <w:rFonts w:cstheme="minorHAnsi"/>
                <w:szCs w:val="20"/>
              </w:rPr>
              <w:t xml:space="preserve">Within the </w:t>
            </w:r>
            <w:r w:rsidR="001D6BE6" w:rsidRPr="00A2670C">
              <w:rPr>
                <w:rFonts w:cstheme="minorHAnsi"/>
                <w:szCs w:val="20"/>
              </w:rPr>
              <w:t>‘</w:t>
            </w:r>
            <w:r w:rsidRPr="00A2670C">
              <w:rPr>
                <w:rFonts w:cstheme="minorHAnsi"/>
                <w:szCs w:val="20"/>
              </w:rPr>
              <w:t>Reportable</w:t>
            </w:r>
            <w:r w:rsidR="001D6BE6" w:rsidRPr="00A2670C">
              <w:rPr>
                <w:rFonts w:cstheme="minorHAnsi"/>
                <w:szCs w:val="20"/>
              </w:rPr>
              <w:t xml:space="preserve"> Situation Event’</w:t>
            </w:r>
            <w:r w:rsidR="004305E0" w:rsidRPr="00A2670C">
              <w:rPr>
                <w:rFonts w:cstheme="minorHAnsi"/>
                <w:szCs w:val="20"/>
              </w:rPr>
              <w:t xml:space="preserve"> </w:t>
            </w:r>
            <w:r w:rsidR="00E35007" w:rsidRPr="00A2670C">
              <w:rPr>
                <w:rFonts w:cstheme="minorHAnsi"/>
                <w:szCs w:val="20"/>
              </w:rPr>
              <w:t xml:space="preserve">click on ‘Submit/update reportable situation by licensee.’ This will </w:t>
            </w:r>
            <w:r w:rsidR="006C087A" w:rsidRPr="00A2670C">
              <w:rPr>
                <w:rFonts w:cstheme="minorHAnsi"/>
                <w:szCs w:val="20"/>
              </w:rPr>
              <w:t>l</w:t>
            </w:r>
            <w:r w:rsidR="00E35007" w:rsidRPr="00A2670C">
              <w:rPr>
                <w:rFonts w:cstheme="minorHAnsi"/>
                <w:szCs w:val="20"/>
              </w:rPr>
              <w:t>aunch the transaction</w:t>
            </w:r>
            <w:r w:rsidR="00304D01" w:rsidRPr="00A2670C">
              <w:rPr>
                <w:rFonts w:cstheme="minorHAnsi"/>
                <w:szCs w:val="20"/>
              </w:rPr>
              <w:t xml:space="preserve"> for the update</w:t>
            </w:r>
            <w:r w:rsidR="00E35007" w:rsidRPr="00A2670C">
              <w:rPr>
                <w:rFonts w:cstheme="minorHAnsi"/>
                <w:szCs w:val="20"/>
              </w:rPr>
              <w:t>.</w:t>
            </w:r>
          </w:p>
          <w:p w14:paraId="2B5BDADA" w14:textId="2EFE0FF8" w:rsidR="004108E5" w:rsidRPr="00A2670C" w:rsidRDefault="004108E5"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A2670C">
              <w:rPr>
                <w:rFonts w:cstheme="minorHAnsi"/>
                <w:szCs w:val="20"/>
              </w:rPr>
              <w:lastRenderedPageBreak/>
              <w:t>Update the breach</w:t>
            </w:r>
            <w:r w:rsidR="007B2DCE" w:rsidRPr="00A2670C">
              <w:rPr>
                <w:rFonts w:cstheme="minorHAnsi"/>
                <w:szCs w:val="20"/>
              </w:rPr>
              <w:t xml:space="preserve">. Where updating a breach you will only be able to </w:t>
            </w:r>
            <w:r w:rsidR="004A629F" w:rsidRPr="00A2670C">
              <w:rPr>
                <w:rFonts w:cstheme="minorHAnsi"/>
                <w:szCs w:val="20"/>
              </w:rPr>
              <w:t>update certain questions relating to</w:t>
            </w:r>
            <w:r w:rsidR="00566CE0">
              <w:rPr>
                <w:rFonts w:cstheme="minorHAnsi"/>
                <w:szCs w:val="20"/>
              </w:rPr>
              <w:t xml:space="preserve"> the</w:t>
            </w:r>
            <w:r w:rsidR="004A629F" w:rsidRPr="00A2670C">
              <w:rPr>
                <w:rFonts w:cstheme="minorHAnsi"/>
                <w:szCs w:val="20"/>
              </w:rPr>
              <w:t xml:space="preserve"> date of completing remediation, amounts compensated and updating the details section of the report. T</w:t>
            </w:r>
            <w:r w:rsidR="002D0630" w:rsidRPr="00A2670C">
              <w:rPr>
                <w:rFonts w:cstheme="minorHAnsi"/>
                <w:szCs w:val="20"/>
              </w:rPr>
              <w:t xml:space="preserve">he details section is where you provide an update of how the breach is progressing or is now completed. </w:t>
            </w:r>
          </w:p>
          <w:p w14:paraId="0A6BF121" w14:textId="77777777" w:rsidR="00055764" w:rsidRPr="00A2670C" w:rsidRDefault="00055764"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A2670C">
              <w:rPr>
                <w:rFonts w:cstheme="minorHAnsi"/>
                <w:szCs w:val="20"/>
              </w:rPr>
              <w:t>Complete all questions and submit the update</w:t>
            </w:r>
          </w:p>
          <w:p w14:paraId="54684B19" w14:textId="001D878C" w:rsidR="00055764" w:rsidRPr="00A2670C" w:rsidRDefault="00055764"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A2670C">
              <w:rPr>
                <w:rFonts w:cstheme="minorHAnsi"/>
                <w:szCs w:val="20"/>
              </w:rPr>
              <w:t>Once submitted the status will be updated to complete (this may take up to 30 minutes)</w:t>
            </w:r>
          </w:p>
          <w:p w14:paraId="691B151A" w14:textId="0C2DE305" w:rsidR="0081269E" w:rsidRPr="00E227E4" w:rsidRDefault="0081269E"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When you have updated the wording </w:t>
            </w:r>
            <w:r w:rsidR="00CB1150">
              <w:rPr>
                <w:rFonts w:cstheme="minorHAnsi"/>
                <w:szCs w:val="20"/>
              </w:rPr>
              <w:t>in</w:t>
            </w:r>
            <w:r>
              <w:rPr>
                <w:rFonts w:cstheme="minorHAnsi"/>
                <w:szCs w:val="20"/>
              </w:rPr>
              <w:t xml:space="preserve"> the details section of the breach in the </w:t>
            </w:r>
            <w:r w:rsidR="00F12414">
              <w:rPr>
                <w:rFonts w:cstheme="minorHAnsi"/>
                <w:szCs w:val="20"/>
              </w:rPr>
              <w:t xml:space="preserve">ASIC </w:t>
            </w:r>
            <w:r>
              <w:rPr>
                <w:rFonts w:cstheme="minorHAnsi"/>
                <w:szCs w:val="20"/>
              </w:rPr>
              <w:t xml:space="preserve">portal ensure that you also update this in the Licensee </w:t>
            </w:r>
            <w:r w:rsidR="00E91A79">
              <w:rPr>
                <w:rFonts w:cstheme="minorHAnsi"/>
                <w:szCs w:val="20"/>
              </w:rPr>
              <w:t>B</w:t>
            </w:r>
            <w:r>
              <w:rPr>
                <w:rFonts w:cstheme="minorHAnsi"/>
                <w:szCs w:val="20"/>
              </w:rPr>
              <w:t xml:space="preserve">reach Register (copy and paste the additional wording </w:t>
            </w:r>
            <w:r w:rsidR="00F12414">
              <w:rPr>
                <w:rFonts w:cstheme="minorHAnsi"/>
                <w:szCs w:val="20"/>
              </w:rPr>
              <w:t>into the</w:t>
            </w:r>
            <w:r>
              <w:rPr>
                <w:rFonts w:cstheme="minorHAnsi"/>
                <w:szCs w:val="20"/>
              </w:rPr>
              <w:t xml:space="preserve"> Licensee Breach Register).</w:t>
            </w:r>
          </w:p>
          <w:p w14:paraId="3EDEA188" w14:textId="750B611B" w:rsidR="00615DDA" w:rsidRPr="0081269E" w:rsidRDefault="00055764" w:rsidP="006A2074">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Download and save a PDF copy of the breach</w:t>
            </w:r>
            <w:r w:rsidR="006A002A">
              <w:rPr>
                <w:rFonts w:cstheme="minorHAnsi"/>
                <w:szCs w:val="20"/>
              </w:rPr>
              <w:t>.</w:t>
            </w:r>
          </w:p>
        </w:tc>
      </w:tr>
    </w:tbl>
    <w:p w14:paraId="10BDCFC5" w14:textId="7A90ECBD" w:rsidR="00BA4C38" w:rsidRPr="00E227E4" w:rsidRDefault="00BA4C38" w:rsidP="00885557">
      <w:pPr>
        <w:pStyle w:val="Heading2"/>
      </w:pPr>
      <w:bookmarkStart w:id="275" w:name="_Toc211347236"/>
      <w:bookmarkStart w:id="276" w:name="_Toc211347677"/>
      <w:bookmarkStart w:id="277" w:name="_Toc211348600"/>
      <w:bookmarkStart w:id="278" w:name="_Toc211349041"/>
      <w:bookmarkStart w:id="279" w:name="_Toc211350034"/>
      <w:bookmarkStart w:id="280" w:name="_Toc211350035"/>
      <w:bookmarkEnd w:id="275"/>
      <w:bookmarkEnd w:id="276"/>
      <w:bookmarkEnd w:id="277"/>
      <w:bookmarkEnd w:id="278"/>
      <w:bookmarkEnd w:id="279"/>
      <w:r w:rsidRPr="00E227E4">
        <w:lastRenderedPageBreak/>
        <w:t xml:space="preserve">Grouping </w:t>
      </w:r>
      <w:r w:rsidR="00182F86">
        <w:t>r</w:t>
      </w:r>
      <w:r w:rsidRPr="00E227E4">
        <w:t xml:space="preserve">eportable </w:t>
      </w:r>
      <w:r w:rsidR="00182F86">
        <w:t>s</w:t>
      </w:r>
      <w:r w:rsidRPr="00E227E4">
        <w:t>ituations</w:t>
      </w:r>
      <w:bookmarkEnd w:id="280"/>
    </w:p>
    <w:p w14:paraId="59FDB28A" w14:textId="664DD042" w:rsidR="00980599" w:rsidRPr="00E227E4" w:rsidRDefault="00980599" w:rsidP="00885557">
      <w:pPr>
        <w:pStyle w:val="Heading3"/>
      </w:pPr>
      <w:r w:rsidRPr="00E227E4">
        <w:t xml:space="preserve">In certain </w:t>
      </w:r>
      <w:r w:rsidR="00BB1A22" w:rsidRPr="00E227E4">
        <w:t>situations,</w:t>
      </w:r>
      <w:r w:rsidRPr="00E227E4">
        <w:t xml:space="preserve"> you may group related situations into a single report</w:t>
      </w:r>
      <w:r w:rsidR="00502436">
        <w:t>, on the ASIC Regulatory Portal</w:t>
      </w:r>
      <w:r w:rsidRPr="00E227E4">
        <w:t xml:space="preserve">. </w:t>
      </w:r>
      <w:r w:rsidR="00FD1C1F" w:rsidRPr="00E227E4">
        <w:t>There are two limbs to the</w:t>
      </w:r>
      <w:r w:rsidR="00F50A56" w:rsidRPr="00E227E4">
        <w:t xml:space="preserve"> ‘grouping</w:t>
      </w:r>
      <w:r w:rsidR="00FD1C1F" w:rsidRPr="00E227E4">
        <w:t xml:space="preserve"> </w:t>
      </w:r>
      <w:r w:rsidR="00F50A56" w:rsidRPr="00E227E4">
        <w:t>test</w:t>
      </w:r>
      <w:r w:rsidR="005628CA">
        <w:t>.</w:t>
      </w:r>
      <w:r w:rsidR="00F50A56" w:rsidRPr="00E227E4">
        <w:t>’</w:t>
      </w:r>
      <w:r w:rsidR="007D434A" w:rsidRPr="00E227E4">
        <w:t xml:space="preserve"> Both limbs need to be met</w:t>
      </w:r>
      <w:r w:rsidR="008E2397" w:rsidRPr="00E227E4">
        <w:t>:</w:t>
      </w:r>
    </w:p>
    <w:p w14:paraId="04471FE5" w14:textId="5A82B253" w:rsidR="00516DDD" w:rsidRPr="00E227E4" w:rsidRDefault="008E2397" w:rsidP="00885557">
      <w:pPr>
        <w:pStyle w:val="Subpara1"/>
      </w:pPr>
      <w:r w:rsidRPr="00063E84">
        <w:t xml:space="preserve">Similar, </w:t>
      </w:r>
      <w:r w:rsidR="008E06CD" w:rsidRPr="00063E84">
        <w:t>R</w:t>
      </w:r>
      <w:r w:rsidRPr="00063E84">
        <w:t>elated or Identical Conduct</w:t>
      </w:r>
      <w:r w:rsidR="004D79AC">
        <w:t xml:space="preserve"> -</w:t>
      </w:r>
      <w:r w:rsidR="008B1214" w:rsidRPr="00E227E4">
        <w:t xml:space="preserve">The first limb is whether the </w:t>
      </w:r>
      <w:r w:rsidR="00516DDD" w:rsidRPr="00E227E4">
        <w:t>breach</w:t>
      </w:r>
      <w:r w:rsidR="008B1214" w:rsidRPr="00E227E4">
        <w:t>es are as a result of similar, related or identical conduct.</w:t>
      </w:r>
      <w:r w:rsidR="007974E8" w:rsidRPr="00E227E4">
        <w:t xml:space="preserve"> E.g. of </w:t>
      </w:r>
      <w:r w:rsidR="00D957F3" w:rsidRPr="00E227E4">
        <w:t xml:space="preserve">similar, related or identical conduct: failure to record client’s </w:t>
      </w:r>
      <w:r w:rsidR="007841D1" w:rsidRPr="00E227E4">
        <w:t>cashflow position</w:t>
      </w:r>
    </w:p>
    <w:p w14:paraId="5A280D6E" w14:textId="1FE5CF4D" w:rsidR="008B1214" w:rsidRPr="00E227E4" w:rsidRDefault="008E06CD" w:rsidP="00885557">
      <w:pPr>
        <w:pStyle w:val="Subpara1"/>
      </w:pPr>
      <w:r w:rsidRPr="00063E84">
        <w:t>Same Root Cause</w:t>
      </w:r>
      <w:r w:rsidR="004D79AC">
        <w:t xml:space="preserve"> - </w:t>
      </w:r>
      <w:r w:rsidR="008B1214" w:rsidRPr="00E227E4">
        <w:t>The second limb is wheth</w:t>
      </w:r>
      <w:r w:rsidR="005516B7" w:rsidRPr="00E227E4">
        <w:t>er the breaches are resulting from the same root cause.</w:t>
      </w:r>
      <w:r w:rsidR="007974E8" w:rsidRPr="00E227E4">
        <w:t xml:space="preserve"> E.g. </w:t>
      </w:r>
      <w:r w:rsidR="005308BB" w:rsidRPr="00E227E4">
        <w:t>failure to ensure training and competence of representatives</w:t>
      </w:r>
    </w:p>
    <w:p w14:paraId="333D9E24" w14:textId="25CF7F90" w:rsidR="000C1A78" w:rsidRPr="00E227E4" w:rsidRDefault="00F165C8" w:rsidP="00885557">
      <w:pPr>
        <w:pStyle w:val="NormalIndent"/>
      </w:pPr>
      <w:r w:rsidRPr="00E227E4">
        <w:t xml:space="preserve">To group together </w:t>
      </w:r>
      <w:r w:rsidR="00D578EF" w:rsidRPr="00E227E4">
        <w:t>multiple breaches the timeframes for reporting each individual breach must still be met.</w:t>
      </w:r>
    </w:p>
    <w:p w14:paraId="140C796C" w14:textId="0A19530A" w:rsidR="00591EC6" w:rsidRPr="00E227E4" w:rsidRDefault="00BE62A9" w:rsidP="00885557">
      <w:pPr>
        <w:pStyle w:val="NormalIndent"/>
      </w:pPr>
      <w:r w:rsidRPr="00E227E4">
        <w:t>Where grouping reportable situations in the one report</w:t>
      </w:r>
      <w:r w:rsidR="00037A91" w:rsidRPr="00E227E4">
        <w:t xml:space="preserve">, </w:t>
      </w:r>
      <w:r w:rsidR="008B56D5" w:rsidRPr="00E227E4">
        <w:t xml:space="preserve">you must specify how many breaches relate to the breach </w:t>
      </w:r>
      <w:r w:rsidR="0098641B" w:rsidRPr="00E227E4">
        <w:t xml:space="preserve">or likely breach that you are reporting. </w:t>
      </w:r>
    </w:p>
    <w:p w14:paraId="795F5F06" w14:textId="17A2E8A9" w:rsidR="00601F5F" w:rsidRPr="00512180" w:rsidRDefault="00A516AB" w:rsidP="00695DE6">
      <w:pPr>
        <w:pStyle w:val="Heading2"/>
      </w:pPr>
      <w:bookmarkStart w:id="281" w:name="_Toc211349043"/>
      <w:bookmarkStart w:id="282" w:name="_Toc211350036"/>
      <w:bookmarkStart w:id="283" w:name="_Toc211350038"/>
      <w:bookmarkEnd w:id="281"/>
      <w:bookmarkEnd w:id="282"/>
      <w:r>
        <w:t>Obligation to report another licensee</w:t>
      </w:r>
      <w:bookmarkEnd w:id="283"/>
    </w:p>
    <w:p w14:paraId="7997863C" w14:textId="77777777" w:rsidR="00A46029" w:rsidRPr="00E227E4" w:rsidRDefault="00A46029" w:rsidP="00695DE6">
      <w:pPr>
        <w:pStyle w:val="Heading3"/>
      </w:pPr>
      <w:r w:rsidRPr="00E227E4">
        <w:t xml:space="preserve">In certain circumstances the licensee </w:t>
      </w:r>
      <w:r>
        <w:t xml:space="preserve">may </w:t>
      </w:r>
      <w:r w:rsidRPr="00E227E4">
        <w:t>be required to lodge a breach report about another licensee. The licensee may become aware of such situations through usual practices, such as due diligence</w:t>
      </w:r>
      <w:r>
        <w:t>,</w:t>
      </w:r>
      <w:r w:rsidRPr="00E227E4">
        <w:t xml:space="preserve"> as part of a business transfer. </w:t>
      </w:r>
    </w:p>
    <w:p w14:paraId="40AEC6B2" w14:textId="378EB916" w:rsidR="009D68A3" w:rsidRPr="00E227E4" w:rsidRDefault="003E594C" w:rsidP="00695DE6">
      <w:pPr>
        <w:pStyle w:val="Heading3"/>
      </w:pPr>
      <w:r w:rsidRPr="00E227E4">
        <w:t>A report must be lodged with ASIC where</w:t>
      </w:r>
      <w:r w:rsidR="009D68A3" w:rsidRPr="00E227E4">
        <w:t>:</w:t>
      </w:r>
    </w:p>
    <w:p w14:paraId="0DB6B230" w14:textId="734FF85B" w:rsidR="00955DA9" w:rsidRPr="00E227E4" w:rsidRDefault="00867F73" w:rsidP="00695DE6">
      <w:pPr>
        <w:pStyle w:val="Subpara1"/>
      </w:pPr>
      <w:r w:rsidRPr="00E227E4">
        <w:t>The licensee</w:t>
      </w:r>
      <w:r w:rsidR="003F6385" w:rsidRPr="00E227E4">
        <w:t xml:space="preserve"> ha</w:t>
      </w:r>
      <w:r w:rsidRPr="00E227E4">
        <w:t>s</w:t>
      </w:r>
      <w:r w:rsidR="003E594C" w:rsidRPr="00E227E4">
        <w:t xml:space="preserve"> </w:t>
      </w:r>
      <w:r w:rsidR="003E594C" w:rsidRPr="00E227E4">
        <w:rPr>
          <w:u w:val="single"/>
        </w:rPr>
        <w:t>reasonable grounds</w:t>
      </w:r>
      <w:r w:rsidR="003E594C" w:rsidRPr="00E227E4">
        <w:t xml:space="preserve"> to believe </w:t>
      </w:r>
      <w:r w:rsidR="009D68A3" w:rsidRPr="00E227E4">
        <w:t xml:space="preserve">that </w:t>
      </w:r>
      <w:r w:rsidR="0079443B" w:rsidRPr="00E227E4">
        <w:t>a reportable situation</w:t>
      </w:r>
      <w:r w:rsidR="005F21BF" w:rsidRPr="00E227E4">
        <w:t xml:space="preserve"> has arisen</w:t>
      </w:r>
      <w:r w:rsidR="002A550C" w:rsidRPr="00E227E4">
        <w:t xml:space="preserve"> (does not include reportable investigations)</w:t>
      </w:r>
    </w:p>
    <w:p w14:paraId="28D3B964" w14:textId="5F6B6E13" w:rsidR="002A550C" w:rsidRPr="00E227E4" w:rsidRDefault="00955DA9" w:rsidP="00695DE6">
      <w:pPr>
        <w:pStyle w:val="Subpara1"/>
      </w:pPr>
      <w:r w:rsidRPr="00E227E4">
        <w:t xml:space="preserve">Reasonable grounds </w:t>
      </w:r>
      <w:r w:rsidR="00A46029" w:rsidRPr="00E227E4">
        <w:t>do</w:t>
      </w:r>
      <w:r w:rsidRPr="00E227E4">
        <w:t xml:space="preserve"> not require</w:t>
      </w:r>
      <w:r w:rsidR="00A31530" w:rsidRPr="00E227E4">
        <w:t xml:space="preserve"> you </w:t>
      </w:r>
      <w:r w:rsidR="003645F8" w:rsidRPr="00E227E4">
        <w:t xml:space="preserve">to have </w:t>
      </w:r>
      <w:r w:rsidR="00A31530" w:rsidRPr="00E227E4">
        <w:t>certain proof</w:t>
      </w:r>
      <w:r w:rsidR="003645F8" w:rsidRPr="00E227E4">
        <w:t xml:space="preserve"> that</w:t>
      </w:r>
      <w:r w:rsidR="00A31530" w:rsidRPr="00E227E4">
        <w:t xml:space="preserve"> there is a breach</w:t>
      </w:r>
      <w:r w:rsidR="002A550C" w:rsidRPr="00E227E4">
        <w:t>;</w:t>
      </w:r>
    </w:p>
    <w:p w14:paraId="17C31710" w14:textId="343FCEC5" w:rsidR="005F21BF" w:rsidRPr="00E227E4" w:rsidRDefault="00867F73" w:rsidP="00695DE6">
      <w:pPr>
        <w:pStyle w:val="Subpara1"/>
      </w:pPr>
      <w:r w:rsidRPr="00E227E4">
        <w:t>The si</w:t>
      </w:r>
      <w:r w:rsidR="004443CE">
        <w:t>t</w:t>
      </w:r>
      <w:r w:rsidRPr="00E227E4">
        <w:t>uation in</w:t>
      </w:r>
      <w:r w:rsidR="003F6385" w:rsidRPr="00E227E4">
        <w:t>volves</w:t>
      </w:r>
      <w:r w:rsidR="0058222E" w:rsidRPr="00E227E4">
        <w:t xml:space="preserve"> conduct of an individual who provides personal advice to retail clients about financial products or </w:t>
      </w:r>
      <w:r w:rsidR="00A36DE0" w:rsidRPr="00E227E4">
        <w:t>is a mortgage broker;</w:t>
      </w:r>
      <w:r w:rsidR="00CB3098" w:rsidRPr="00E227E4">
        <w:t xml:space="preserve"> and</w:t>
      </w:r>
    </w:p>
    <w:p w14:paraId="61158BB1" w14:textId="77777777" w:rsidR="006473F7" w:rsidRPr="00E227E4" w:rsidRDefault="00CB3098" w:rsidP="00695DE6">
      <w:pPr>
        <w:pStyle w:val="Subpara1"/>
      </w:pPr>
      <w:r w:rsidRPr="00E227E4">
        <w:t xml:space="preserve">Is </w:t>
      </w:r>
      <w:r w:rsidR="006473F7" w:rsidRPr="00E227E4">
        <w:t>either:</w:t>
      </w:r>
    </w:p>
    <w:p w14:paraId="2DC15677" w14:textId="2C62F7EC" w:rsidR="006473F7" w:rsidRPr="00E227E4" w:rsidRDefault="00F170D0" w:rsidP="00695DE6">
      <w:pPr>
        <w:pStyle w:val="Subpara2"/>
      </w:pPr>
      <w:r w:rsidRPr="00E227E4">
        <w:t>another AFS Licensee</w:t>
      </w:r>
      <w:r w:rsidR="006473F7" w:rsidRPr="00E227E4">
        <w:t xml:space="preserve"> or </w:t>
      </w:r>
      <w:r w:rsidRPr="00E227E4">
        <w:t>Credit Licensee</w:t>
      </w:r>
      <w:r w:rsidR="006473F7" w:rsidRPr="00E227E4">
        <w:t>; or</w:t>
      </w:r>
    </w:p>
    <w:p w14:paraId="4447A5C1" w14:textId="45C48AE6" w:rsidR="00CB3098" w:rsidRPr="00E227E4" w:rsidRDefault="00F170D0" w:rsidP="00695DE6">
      <w:pPr>
        <w:pStyle w:val="Subpara2"/>
      </w:pPr>
      <w:r w:rsidRPr="00E227E4">
        <w:t>an employee</w:t>
      </w:r>
      <w:r w:rsidR="00FF56E9" w:rsidRPr="00E227E4">
        <w:t xml:space="preserve">, director or representative </w:t>
      </w:r>
      <w:r w:rsidR="006473F7" w:rsidRPr="00E227E4">
        <w:t xml:space="preserve">of another AFS Licensee or Credit Licensee </w:t>
      </w:r>
      <w:r w:rsidR="004D7A71" w:rsidRPr="00E227E4">
        <w:t>(or a related body corporate) acting within the scope of their employment</w:t>
      </w:r>
      <w:r w:rsidR="0067749A" w:rsidRPr="00E227E4">
        <w:t xml:space="preserve">, </w:t>
      </w:r>
      <w:r w:rsidR="004D7A71" w:rsidRPr="00E227E4">
        <w:t>duties</w:t>
      </w:r>
      <w:r w:rsidR="0067749A" w:rsidRPr="00E227E4">
        <w:t xml:space="preserve"> or authorisations.</w:t>
      </w:r>
    </w:p>
    <w:p w14:paraId="0F4432B7" w14:textId="711126FA" w:rsidR="00F170D0" w:rsidRPr="00E227E4" w:rsidRDefault="00F0501F" w:rsidP="001D0F1A">
      <w:pPr>
        <w:pStyle w:val="Heading3"/>
      </w:pPr>
      <w:r w:rsidRPr="00E227E4">
        <w:lastRenderedPageBreak/>
        <w:t xml:space="preserve">Within 30 days </w:t>
      </w:r>
      <w:r w:rsidR="00095DD7" w:rsidRPr="00E227E4">
        <w:t xml:space="preserve">of identifying the reportable situation you must: </w:t>
      </w:r>
    </w:p>
    <w:p w14:paraId="21A758FF" w14:textId="53A25F8A" w:rsidR="00B31C8D" w:rsidRPr="00E227E4" w:rsidRDefault="00095DD7" w:rsidP="001D0F1A">
      <w:pPr>
        <w:pStyle w:val="Subpara1"/>
      </w:pPr>
      <w:r w:rsidRPr="00E227E4">
        <w:t xml:space="preserve">Lodge </w:t>
      </w:r>
      <w:r w:rsidR="002A0691" w:rsidRPr="00E227E4">
        <w:t xml:space="preserve">a report with ASIC; and </w:t>
      </w:r>
    </w:p>
    <w:p w14:paraId="6A4B51A8" w14:textId="15AE4CB4" w:rsidR="00B31C8D" w:rsidRPr="00E227E4" w:rsidRDefault="002A0691" w:rsidP="001D0F1A">
      <w:pPr>
        <w:pStyle w:val="Subpara1"/>
      </w:pPr>
      <w:r w:rsidRPr="00E227E4">
        <w:t>Provide a</w:t>
      </w:r>
      <w:r w:rsidR="00B31C8D" w:rsidRPr="00E227E4">
        <w:t xml:space="preserve"> copy of the report </w:t>
      </w:r>
      <w:r w:rsidR="009F6AB4">
        <w:t xml:space="preserve">to </w:t>
      </w:r>
      <w:r w:rsidR="00B31C8D" w:rsidRPr="00E227E4">
        <w:t>the</w:t>
      </w:r>
      <w:r w:rsidR="000975D9" w:rsidRPr="00E227E4">
        <w:t xml:space="preserve"> other licensee.</w:t>
      </w:r>
    </w:p>
    <w:p w14:paraId="1D175942" w14:textId="54665E13" w:rsidR="0038367F" w:rsidRPr="00DE4114" w:rsidRDefault="0038367F" w:rsidP="0038367F">
      <w:pPr>
        <w:pStyle w:val="Heading2"/>
      </w:pPr>
      <w:r w:rsidRPr="0038367F">
        <w:t xml:space="preserve"> </w:t>
      </w:r>
      <w:bookmarkStart w:id="284" w:name="_Toc211350039"/>
      <w:r>
        <w:t xml:space="preserve">How to </w:t>
      </w:r>
      <w:r w:rsidR="00E749C0">
        <w:t>report another licensee</w:t>
      </w:r>
      <w:bookmarkEnd w:id="284"/>
    </w:p>
    <w:tbl>
      <w:tblPr>
        <w:tblStyle w:val="CAWhitepapertable"/>
        <w:tblW w:w="5120" w:type="pct"/>
        <w:tblLook w:val="04A0" w:firstRow="1" w:lastRow="0" w:firstColumn="1" w:lastColumn="0" w:noHBand="0" w:noVBand="1"/>
      </w:tblPr>
      <w:tblGrid>
        <w:gridCol w:w="4846"/>
        <w:gridCol w:w="5249"/>
      </w:tblGrid>
      <w:tr w:rsidR="00C57CF9" w:rsidRPr="00E227E4" w14:paraId="324F187F" w14:textId="77777777" w:rsidTr="001D0F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5681C281" w14:textId="77777777" w:rsidR="00C57CF9" w:rsidRPr="00E227E4" w:rsidRDefault="00C57CF9">
            <w:pPr>
              <w:pStyle w:val="Tabletextheading"/>
              <w:rPr>
                <w:rFonts w:cstheme="minorHAnsi"/>
                <w:szCs w:val="20"/>
              </w:rPr>
            </w:pPr>
            <w:r w:rsidRPr="00E227E4">
              <w:rPr>
                <w:rFonts w:cstheme="minorHAnsi"/>
                <w:szCs w:val="20"/>
              </w:rPr>
              <w:t>Step</w:t>
            </w:r>
          </w:p>
        </w:tc>
        <w:tc>
          <w:tcPr>
            <w:tcW w:w="0" w:type="pct"/>
          </w:tcPr>
          <w:p w14:paraId="4B0FA58E" w14:textId="77777777" w:rsidR="00C57CF9" w:rsidRPr="00E227E4" w:rsidRDefault="00C57CF9">
            <w:pPr>
              <w:pStyle w:val="Tabletextheading"/>
              <w:cnfStyle w:val="100000000000" w:firstRow="1" w:lastRow="0" w:firstColumn="0" w:lastColumn="0" w:oddVBand="0" w:evenVBand="0" w:oddHBand="0" w:evenHBand="0" w:firstRowFirstColumn="0" w:firstRowLastColumn="0" w:lastRowFirstColumn="0" w:lastRowLastColumn="0"/>
              <w:rPr>
                <w:rFonts w:cstheme="minorHAnsi"/>
                <w:szCs w:val="20"/>
              </w:rPr>
            </w:pPr>
            <w:r w:rsidRPr="00E227E4">
              <w:rPr>
                <w:rFonts w:cstheme="minorHAnsi"/>
                <w:szCs w:val="20"/>
              </w:rPr>
              <w:t>Description</w:t>
            </w:r>
          </w:p>
        </w:tc>
      </w:tr>
      <w:tr w:rsidR="00C57CF9" w:rsidRPr="00E227E4" w14:paraId="598DEDF1" w14:textId="77777777" w:rsidTr="001D0F1A">
        <w:tc>
          <w:tcPr>
            <w:cnfStyle w:val="001000000000" w:firstRow="0" w:lastRow="0" w:firstColumn="1" w:lastColumn="0" w:oddVBand="0" w:evenVBand="0" w:oddHBand="0" w:evenHBand="0" w:firstRowFirstColumn="0" w:firstRowLastColumn="0" w:lastRowFirstColumn="0" w:lastRowLastColumn="0"/>
            <w:tcW w:w="0" w:type="pct"/>
          </w:tcPr>
          <w:p w14:paraId="1D8C1B49" w14:textId="69E5C51F" w:rsidR="00C57CF9" w:rsidRPr="00182F86" w:rsidRDefault="007672B2" w:rsidP="001D0F1A">
            <w:pPr>
              <w:pStyle w:val="Tablenotenumbers"/>
              <w:numPr>
                <w:ilvl w:val="1"/>
                <w:numId w:val="64"/>
              </w:numPr>
              <w:rPr>
                <w:rFonts w:cstheme="minorHAnsi"/>
                <w:szCs w:val="20"/>
              </w:rPr>
            </w:pPr>
            <w:r w:rsidRPr="00E227E4">
              <w:t>Create a Transaction</w:t>
            </w:r>
          </w:p>
        </w:tc>
        <w:tc>
          <w:tcPr>
            <w:tcW w:w="0" w:type="pct"/>
          </w:tcPr>
          <w:p w14:paraId="0FF91604" w14:textId="77777777" w:rsidR="00C57CF9" w:rsidRPr="00E227E4" w:rsidRDefault="00E26F6A" w:rsidP="001D0F1A">
            <w:pPr>
              <w:pStyle w:val="Tablelistbullet"/>
              <w:numPr>
                <w:ilvl w:val="0"/>
                <w:numId w:val="63"/>
              </w:numPr>
              <w:cnfStyle w:val="000000000000" w:firstRow="0" w:lastRow="0" w:firstColumn="0" w:lastColumn="0" w:oddVBand="0" w:evenVBand="0" w:oddHBand="0" w:evenHBand="0" w:firstRowFirstColumn="0" w:firstRowLastColumn="0" w:lastRowFirstColumn="0" w:lastRowLastColumn="0"/>
            </w:pPr>
            <w:r w:rsidRPr="00E227E4">
              <w:t xml:space="preserve">Login to the ASIC Regulatory Portal </w:t>
            </w:r>
          </w:p>
          <w:p w14:paraId="1C909086" w14:textId="5A957967" w:rsidR="001F0496" w:rsidRPr="00E227E4" w:rsidRDefault="001F0496" w:rsidP="001D0F1A">
            <w:pPr>
              <w:pStyle w:val="Tablelistbullet"/>
              <w:numPr>
                <w:ilvl w:val="0"/>
                <w:numId w:val="63"/>
              </w:numPr>
              <w:cnfStyle w:val="000000000000" w:firstRow="0" w:lastRow="0" w:firstColumn="0" w:lastColumn="0" w:oddVBand="0" w:evenVBand="0" w:oddHBand="0" w:evenHBand="0" w:firstRowFirstColumn="0" w:firstRowLastColumn="0" w:lastRowFirstColumn="0" w:lastRowLastColumn="0"/>
            </w:pPr>
            <w:r w:rsidRPr="00E227E4">
              <w:t xml:space="preserve">From your dashboard, </w:t>
            </w:r>
            <w:r w:rsidR="00BB1A22" w:rsidRPr="00E227E4">
              <w:t>click</w:t>
            </w:r>
            <w:r w:rsidRPr="00E227E4">
              <w:t xml:space="preserve"> on ‘Start a new transactio</w:t>
            </w:r>
            <w:r w:rsidR="00CE5B43" w:rsidRPr="00E227E4">
              <w:t xml:space="preserve">n’ OR </w:t>
            </w:r>
            <w:r w:rsidR="00BB1A22" w:rsidRPr="00E227E4">
              <w:t>click</w:t>
            </w:r>
            <w:r w:rsidR="00CE5B43" w:rsidRPr="00E227E4">
              <w:t xml:space="preserve"> on </w:t>
            </w:r>
            <w:r w:rsidR="009246D2" w:rsidRPr="00E227E4">
              <w:t>‘Transactions’ in the tool bar and select ‘Start new transaction’ from the drop-down list</w:t>
            </w:r>
          </w:p>
          <w:p w14:paraId="368B7435" w14:textId="77777777" w:rsidR="00BB1896" w:rsidRDefault="00906149" w:rsidP="001D0F1A">
            <w:pPr>
              <w:pStyle w:val="Tablelistbullet"/>
              <w:numPr>
                <w:ilvl w:val="0"/>
                <w:numId w:val="63"/>
              </w:numPr>
              <w:cnfStyle w:val="000000000000" w:firstRow="0" w:lastRow="0" w:firstColumn="0" w:lastColumn="0" w:oddVBand="0" w:evenVBand="0" w:oddHBand="0" w:evenHBand="0" w:firstRowFirstColumn="0" w:firstRowLastColumn="0" w:lastRowFirstColumn="0" w:lastRowLastColumn="0"/>
            </w:pPr>
            <w:r w:rsidRPr="00E227E4">
              <w:t xml:space="preserve">On the ‘Start a new transaction’ page, under ‘Reportable situations/Breach reporting’, </w:t>
            </w:r>
            <w:r w:rsidR="00202CA8" w:rsidRPr="00E227E4">
              <w:t>select ‘Submit reportable situation about another licensee</w:t>
            </w:r>
            <w:r w:rsidR="00614316" w:rsidRPr="00E227E4">
              <w:t>.</w:t>
            </w:r>
            <w:r w:rsidR="00202CA8" w:rsidRPr="00E227E4">
              <w:t>’</w:t>
            </w:r>
            <w:r w:rsidR="00614316" w:rsidRPr="00E227E4">
              <w:t xml:space="preserve"> This will </w:t>
            </w:r>
            <w:r w:rsidR="00116DE9" w:rsidRPr="00E227E4">
              <w:t xml:space="preserve">allow you to access the transaction landing page and launch the transaction. </w:t>
            </w:r>
          </w:p>
          <w:p w14:paraId="1EF5D638" w14:textId="77777777" w:rsidR="00143F4A" w:rsidRPr="00E227E4" w:rsidRDefault="00143F4A" w:rsidP="001D0F1A">
            <w:pPr>
              <w:pStyle w:val="Tablelistbullet"/>
              <w:numPr>
                <w:ilvl w:val="0"/>
                <w:numId w:val="63"/>
              </w:numPr>
              <w:cnfStyle w:val="000000000000" w:firstRow="0" w:lastRow="0" w:firstColumn="0" w:lastColumn="0" w:oddVBand="0" w:evenVBand="0" w:oddHBand="0" w:evenHBand="0" w:firstRowFirstColumn="0" w:firstRowLastColumn="0" w:lastRowFirstColumn="0" w:lastRowLastColumn="0"/>
            </w:pPr>
            <w:r w:rsidRPr="00E227E4">
              <w:t>Once the transaction is launched, complete all questions within the portal.</w:t>
            </w:r>
          </w:p>
          <w:p w14:paraId="5827E853" w14:textId="77777777" w:rsidR="00143F4A" w:rsidRPr="00E227E4" w:rsidRDefault="00143F4A" w:rsidP="001D0F1A">
            <w:pPr>
              <w:pStyle w:val="Tablelistbullet"/>
              <w:numPr>
                <w:ilvl w:val="0"/>
                <w:numId w:val="63"/>
              </w:numPr>
              <w:cnfStyle w:val="000000000000" w:firstRow="0" w:lastRow="0" w:firstColumn="0" w:lastColumn="0" w:oddVBand="0" w:evenVBand="0" w:oddHBand="0" w:evenHBand="0" w:firstRowFirstColumn="0" w:firstRowLastColumn="0" w:lastRowFirstColumn="0" w:lastRowLastColumn="0"/>
            </w:pPr>
            <w:r w:rsidRPr="00E227E4">
              <w:t>Once completed submit the breach and save.</w:t>
            </w:r>
          </w:p>
          <w:p w14:paraId="7E8543FB" w14:textId="0C2C204E" w:rsidR="00143F4A" w:rsidRPr="00E227E4" w:rsidRDefault="00143F4A" w:rsidP="001D0F1A">
            <w:pPr>
              <w:pStyle w:val="Tablelistbullet"/>
              <w:numPr>
                <w:ilvl w:val="0"/>
                <w:numId w:val="63"/>
              </w:numPr>
              <w:cnfStyle w:val="000000000000" w:firstRow="0" w:lastRow="0" w:firstColumn="0" w:lastColumn="0" w:oddVBand="0" w:evenVBand="0" w:oddHBand="0" w:evenHBand="0" w:firstRowFirstColumn="0" w:firstRowLastColumn="0" w:lastRowFirstColumn="0" w:lastRowLastColumn="0"/>
            </w:pPr>
            <w:r w:rsidRPr="00E227E4">
              <w:t xml:space="preserve">Reopen the breach and download the PDF and save a copy of this to the relevant sub-folder under the Reportable </w:t>
            </w:r>
            <w:r w:rsidR="00B43027" w:rsidRPr="00E227E4">
              <w:t>Situation</w:t>
            </w:r>
            <w:r w:rsidRPr="00E227E4">
              <w:t xml:space="preserve"> Correspondence Folder.</w:t>
            </w:r>
          </w:p>
        </w:tc>
      </w:tr>
    </w:tbl>
    <w:p w14:paraId="0A0ACC32" w14:textId="77777777" w:rsidR="00906870" w:rsidRPr="00906870" w:rsidRDefault="00906870" w:rsidP="00906870"/>
    <w:p w14:paraId="0FECAD72" w14:textId="2AB3A032" w:rsidR="005D6853" w:rsidRDefault="005D6853">
      <w:pPr>
        <w:spacing w:before="0" w:after="160" w:line="259" w:lineRule="auto"/>
        <w:rPr>
          <w:rFonts w:cstheme="minorHAnsi"/>
          <w:szCs w:val="20"/>
        </w:rPr>
      </w:pPr>
      <w:r>
        <w:rPr>
          <w:rFonts w:cstheme="minorHAnsi"/>
          <w:szCs w:val="20"/>
        </w:rPr>
        <w:br w:type="page"/>
      </w:r>
    </w:p>
    <w:p w14:paraId="2A7B0B25" w14:textId="17805DE6" w:rsidR="00C57CF9" w:rsidRPr="00E227E4" w:rsidRDefault="005D6853" w:rsidP="001D0F1A">
      <w:pPr>
        <w:pStyle w:val="AppendixHeading1"/>
      </w:pPr>
      <w:bookmarkStart w:id="285" w:name="_Toc211350040"/>
      <w:r>
        <w:lastRenderedPageBreak/>
        <w:t>Appendices</w:t>
      </w:r>
      <w:bookmarkEnd w:id="285"/>
    </w:p>
    <w:p w14:paraId="4704543B" w14:textId="49A50860" w:rsidR="002B45C5" w:rsidRDefault="005D6853" w:rsidP="005D6853">
      <w:pPr>
        <w:pStyle w:val="AppendixHeading2"/>
      </w:pPr>
      <w:bookmarkStart w:id="286" w:name="_Toc211005319"/>
      <w:bookmarkStart w:id="287" w:name="_Toc211007722"/>
      <w:bookmarkStart w:id="288" w:name="_Toc211008201"/>
      <w:bookmarkStart w:id="289" w:name="_Toc211008600"/>
      <w:bookmarkStart w:id="290" w:name="_Toc211335674"/>
      <w:bookmarkStart w:id="291" w:name="_Toc211336500"/>
      <w:bookmarkStart w:id="292" w:name="_Toc211337025"/>
      <w:bookmarkStart w:id="293" w:name="_Toc211346785"/>
      <w:bookmarkStart w:id="294" w:name="_Toc211347243"/>
      <w:bookmarkStart w:id="295" w:name="_Toc211347684"/>
      <w:bookmarkStart w:id="296" w:name="_Toc211348607"/>
      <w:bookmarkStart w:id="297" w:name="_Toc211349048"/>
      <w:bookmarkStart w:id="298" w:name="_Toc211350041"/>
      <w:bookmarkStart w:id="299" w:name="_Toc211005320"/>
      <w:bookmarkStart w:id="300" w:name="_Toc211007723"/>
      <w:bookmarkStart w:id="301" w:name="_Toc211008202"/>
      <w:bookmarkStart w:id="302" w:name="_Toc211008601"/>
      <w:bookmarkStart w:id="303" w:name="_Toc211335675"/>
      <w:bookmarkStart w:id="304" w:name="_Toc211336501"/>
      <w:bookmarkStart w:id="305" w:name="_Toc211337026"/>
      <w:bookmarkStart w:id="306" w:name="_Toc211346786"/>
      <w:bookmarkStart w:id="307" w:name="_Toc211347244"/>
      <w:bookmarkStart w:id="308" w:name="_Toc211347685"/>
      <w:bookmarkStart w:id="309" w:name="_Toc211348608"/>
      <w:bookmarkStart w:id="310" w:name="_Toc211349049"/>
      <w:bookmarkStart w:id="311" w:name="_Toc211350042"/>
      <w:bookmarkStart w:id="312" w:name="_Toc211007724"/>
      <w:bookmarkStart w:id="313" w:name="_Toc211008203"/>
      <w:bookmarkStart w:id="314" w:name="_Toc211008602"/>
      <w:bookmarkStart w:id="315" w:name="_Toc211335676"/>
      <w:bookmarkStart w:id="316" w:name="_Toc211336502"/>
      <w:bookmarkStart w:id="317" w:name="_Toc211337027"/>
      <w:bookmarkStart w:id="318" w:name="_Toc211346787"/>
      <w:bookmarkStart w:id="319" w:name="_Toc211347245"/>
      <w:bookmarkStart w:id="320" w:name="_Toc211347686"/>
      <w:bookmarkStart w:id="321" w:name="_Toc211348609"/>
      <w:bookmarkStart w:id="322" w:name="_Toc211349050"/>
      <w:bookmarkStart w:id="323" w:name="_Toc211350043"/>
      <w:bookmarkStart w:id="324" w:name="_Toc211007821"/>
      <w:bookmarkStart w:id="325" w:name="_Toc211008300"/>
      <w:bookmarkStart w:id="326" w:name="_Toc211008699"/>
      <w:bookmarkStart w:id="327" w:name="_Toc211335773"/>
      <w:bookmarkStart w:id="328" w:name="_Toc211336599"/>
      <w:bookmarkStart w:id="329" w:name="_Toc211337124"/>
      <w:bookmarkStart w:id="330" w:name="_Toc211346884"/>
      <w:bookmarkStart w:id="331" w:name="_Toc211347342"/>
      <w:bookmarkStart w:id="332" w:name="_Toc211347783"/>
      <w:bookmarkStart w:id="333" w:name="_Toc211348706"/>
      <w:bookmarkStart w:id="334" w:name="_Toc211349147"/>
      <w:bookmarkStart w:id="335" w:name="_Toc211350140"/>
      <w:bookmarkStart w:id="336" w:name="_Toc211007822"/>
      <w:bookmarkStart w:id="337" w:name="_Toc211008301"/>
      <w:bookmarkStart w:id="338" w:name="_Toc211008700"/>
      <w:bookmarkStart w:id="339" w:name="_Toc211335774"/>
      <w:bookmarkStart w:id="340" w:name="_Toc211336600"/>
      <w:bookmarkStart w:id="341" w:name="_Toc211337125"/>
      <w:bookmarkStart w:id="342" w:name="_Toc211346885"/>
      <w:bookmarkStart w:id="343" w:name="_Toc211347343"/>
      <w:bookmarkStart w:id="344" w:name="_Toc211347784"/>
      <w:bookmarkStart w:id="345" w:name="_Toc211348707"/>
      <w:bookmarkStart w:id="346" w:name="_Toc211349148"/>
      <w:bookmarkStart w:id="347" w:name="_Toc211350141"/>
      <w:bookmarkStart w:id="348" w:name="_Toc211007823"/>
      <w:bookmarkStart w:id="349" w:name="_Toc211008302"/>
      <w:bookmarkStart w:id="350" w:name="_Toc211008701"/>
      <w:bookmarkStart w:id="351" w:name="_Toc211335775"/>
      <w:bookmarkStart w:id="352" w:name="_Toc211336601"/>
      <w:bookmarkStart w:id="353" w:name="_Toc211337126"/>
      <w:bookmarkStart w:id="354" w:name="_Toc211346886"/>
      <w:bookmarkStart w:id="355" w:name="_Toc211347344"/>
      <w:bookmarkStart w:id="356" w:name="_Toc211347785"/>
      <w:bookmarkStart w:id="357" w:name="_Toc211348708"/>
      <w:bookmarkStart w:id="358" w:name="_Toc211349149"/>
      <w:bookmarkStart w:id="359" w:name="_Toc211350142"/>
      <w:bookmarkStart w:id="360" w:name="_Toc211007886"/>
      <w:bookmarkStart w:id="361" w:name="_Toc211008365"/>
      <w:bookmarkStart w:id="362" w:name="_Toc211008764"/>
      <w:bookmarkStart w:id="363" w:name="_Toc211335838"/>
      <w:bookmarkStart w:id="364" w:name="_Toc211336664"/>
      <w:bookmarkStart w:id="365" w:name="_Toc211337189"/>
      <w:bookmarkStart w:id="366" w:name="_Toc211346949"/>
      <w:bookmarkStart w:id="367" w:name="_Toc211347407"/>
      <w:bookmarkStart w:id="368" w:name="_Toc211347848"/>
      <w:bookmarkStart w:id="369" w:name="_Toc211348771"/>
      <w:bookmarkStart w:id="370" w:name="_Toc211349212"/>
      <w:bookmarkStart w:id="371" w:name="_Toc211350205"/>
      <w:bookmarkStart w:id="372" w:name="_Toc211007887"/>
      <w:bookmarkStart w:id="373" w:name="_Toc211008366"/>
      <w:bookmarkStart w:id="374" w:name="_Toc211008765"/>
      <w:bookmarkStart w:id="375" w:name="_Toc211335839"/>
      <w:bookmarkStart w:id="376" w:name="_Toc211336665"/>
      <w:bookmarkStart w:id="377" w:name="_Toc211337190"/>
      <w:bookmarkStart w:id="378" w:name="_Toc211346950"/>
      <w:bookmarkStart w:id="379" w:name="_Toc211347408"/>
      <w:bookmarkStart w:id="380" w:name="_Toc211347849"/>
      <w:bookmarkStart w:id="381" w:name="_Toc211348772"/>
      <w:bookmarkStart w:id="382" w:name="_Toc211349213"/>
      <w:bookmarkStart w:id="383" w:name="_Toc211350206"/>
      <w:bookmarkStart w:id="384" w:name="_Toc211007949"/>
      <w:bookmarkStart w:id="385" w:name="_Toc211008428"/>
      <w:bookmarkStart w:id="386" w:name="_Toc211008827"/>
      <w:bookmarkStart w:id="387" w:name="_Toc211335901"/>
      <w:bookmarkStart w:id="388" w:name="_Toc211336727"/>
      <w:bookmarkStart w:id="389" w:name="_Toc211337252"/>
      <w:bookmarkStart w:id="390" w:name="_Toc211347012"/>
      <w:bookmarkStart w:id="391" w:name="_Toc211347470"/>
      <w:bookmarkStart w:id="392" w:name="_Toc211347911"/>
      <w:bookmarkStart w:id="393" w:name="_Toc211348834"/>
      <w:bookmarkStart w:id="394" w:name="_Toc211349275"/>
      <w:bookmarkStart w:id="395" w:name="_Toc211350268"/>
      <w:bookmarkStart w:id="396" w:name="_Toc21135033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t>Reportable Situation Examples</w:t>
      </w:r>
      <w:bookmarkEnd w:id="396"/>
    </w:p>
    <w:tbl>
      <w:tblPr>
        <w:tblStyle w:val="CAWhitepapertable"/>
        <w:tblW w:w="0" w:type="auto"/>
        <w:tblLook w:val="04A0" w:firstRow="1" w:lastRow="0" w:firstColumn="1" w:lastColumn="0" w:noHBand="0" w:noVBand="1"/>
      </w:tblPr>
      <w:tblGrid>
        <w:gridCol w:w="2832"/>
        <w:gridCol w:w="7022"/>
      </w:tblGrid>
      <w:tr w:rsidR="005D6853" w14:paraId="40D22672" w14:textId="77777777" w:rsidTr="00096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3C6E7696" w14:textId="06313856" w:rsidR="005D6853" w:rsidRDefault="00066777" w:rsidP="0009619A">
            <w:pPr>
              <w:pStyle w:val="Tabletextheading"/>
            </w:pPr>
            <w:r>
              <w:t>Category</w:t>
            </w:r>
          </w:p>
        </w:tc>
        <w:tc>
          <w:tcPr>
            <w:tcW w:w="7022" w:type="dxa"/>
          </w:tcPr>
          <w:p w14:paraId="74C83CD1" w14:textId="55C132EB" w:rsidR="005D6853" w:rsidRDefault="00066777" w:rsidP="0009619A">
            <w:pPr>
              <w:pStyle w:val="Tabletextheading"/>
              <w:cnfStyle w:val="100000000000" w:firstRow="1" w:lastRow="0" w:firstColumn="0" w:lastColumn="0" w:oddVBand="0" w:evenVBand="0" w:oddHBand="0" w:evenHBand="0" w:firstRowFirstColumn="0" w:firstRowLastColumn="0" w:lastRowFirstColumn="0" w:lastRowLastColumn="0"/>
            </w:pPr>
            <w:r>
              <w:t>Legislation and Description</w:t>
            </w:r>
          </w:p>
        </w:tc>
      </w:tr>
      <w:tr w:rsidR="005D6853" w14:paraId="6DA83488" w14:textId="77777777" w:rsidTr="0009619A">
        <w:tc>
          <w:tcPr>
            <w:cnfStyle w:val="001000000000" w:firstRow="0" w:lastRow="0" w:firstColumn="1" w:lastColumn="0" w:oddVBand="0" w:evenVBand="0" w:oddHBand="0" w:evenHBand="0" w:firstRowFirstColumn="0" w:firstRowLastColumn="0" w:lastRowFirstColumn="0" w:lastRowLastColumn="0"/>
            <w:tcW w:w="2832" w:type="dxa"/>
          </w:tcPr>
          <w:p w14:paraId="5919BB74" w14:textId="6891D54C" w:rsidR="005D6853" w:rsidRPr="00066777" w:rsidRDefault="005D7333" w:rsidP="0009619A">
            <w:pPr>
              <w:pStyle w:val="Tabletext"/>
            </w:pPr>
            <w:r w:rsidRPr="00066777">
              <w:t>Authorising representatives</w:t>
            </w:r>
          </w:p>
        </w:tc>
        <w:tc>
          <w:tcPr>
            <w:tcW w:w="7022" w:type="dxa"/>
          </w:tcPr>
          <w:p w14:paraId="4B393B63" w14:textId="75F54DC0" w:rsidR="008771E1" w:rsidRPr="00066777" w:rsidRDefault="008771E1" w:rsidP="0009619A">
            <w:pPr>
              <w:pStyle w:val="Tabletext"/>
              <w:cnfStyle w:val="000000000000" w:firstRow="0" w:lastRow="0" w:firstColumn="0" w:lastColumn="0" w:oddVBand="0" w:evenVBand="0" w:oddHBand="0" w:evenHBand="0" w:firstRowFirstColumn="0" w:firstRowLastColumn="0" w:lastRowFirstColumn="0" w:lastRowLastColumn="0"/>
            </w:pPr>
            <w:r w:rsidRPr="00066777">
              <w:t>S916A – S916D</w:t>
            </w:r>
            <w:r w:rsidR="006D426F" w:rsidRPr="00066777">
              <w:t xml:space="preserve"> - </w:t>
            </w:r>
            <w:r w:rsidRPr="00066777">
              <w:t>Failures when authorising representatives</w:t>
            </w:r>
          </w:p>
        </w:tc>
      </w:tr>
      <w:tr w:rsidR="005D6853" w14:paraId="1AC3A06E" w14:textId="77777777" w:rsidTr="0009619A">
        <w:tc>
          <w:tcPr>
            <w:cnfStyle w:val="001000000000" w:firstRow="0" w:lastRow="0" w:firstColumn="1" w:lastColumn="0" w:oddVBand="0" w:evenVBand="0" w:oddHBand="0" w:evenHBand="0" w:firstRowFirstColumn="0" w:firstRowLastColumn="0" w:lastRowFirstColumn="0" w:lastRowLastColumn="0"/>
            <w:tcW w:w="2832" w:type="dxa"/>
          </w:tcPr>
          <w:p w14:paraId="68F43100" w14:textId="326C7B5A" w:rsidR="005D6853" w:rsidRPr="00066777" w:rsidRDefault="005D7333" w:rsidP="0009619A">
            <w:pPr>
              <w:pStyle w:val="Tabletext"/>
            </w:pPr>
            <w:r w:rsidRPr="00066777">
              <w:t>General obligations</w:t>
            </w:r>
          </w:p>
        </w:tc>
        <w:tc>
          <w:tcPr>
            <w:tcW w:w="7022" w:type="dxa"/>
          </w:tcPr>
          <w:p w14:paraId="7B08C6E8" w14:textId="6C66A02E" w:rsidR="005D6853" w:rsidRPr="00066777" w:rsidRDefault="00F13A17" w:rsidP="0009619A">
            <w:pPr>
              <w:pStyle w:val="Tabletext"/>
              <w:cnfStyle w:val="000000000000" w:firstRow="0" w:lastRow="0" w:firstColumn="0" w:lastColumn="0" w:oddVBand="0" w:evenVBand="0" w:oddHBand="0" w:evenHBand="0" w:firstRowFirstColumn="0" w:firstRowLastColumn="0" w:lastRowFirstColumn="0" w:lastRowLastColumn="0"/>
            </w:pPr>
            <w:r w:rsidRPr="00066777">
              <w:t>S912S</w:t>
            </w:r>
            <w:r w:rsidR="006D426F" w:rsidRPr="00066777">
              <w:t xml:space="preserve"> -</w:t>
            </w:r>
            <w:r w:rsidRPr="00066777">
              <w:t xml:space="preserve"> Failure to comply with the general obligations of an AFS Licensee</w:t>
            </w:r>
          </w:p>
        </w:tc>
      </w:tr>
      <w:tr w:rsidR="005D6853" w14:paraId="06A3D6F3" w14:textId="77777777" w:rsidTr="0009619A">
        <w:tc>
          <w:tcPr>
            <w:cnfStyle w:val="001000000000" w:firstRow="0" w:lastRow="0" w:firstColumn="1" w:lastColumn="0" w:oddVBand="0" w:evenVBand="0" w:oddHBand="0" w:evenHBand="0" w:firstRowFirstColumn="0" w:firstRowLastColumn="0" w:lastRowFirstColumn="0" w:lastRowLastColumn="0"/>
            <w:tcW w:w="2832" w:type="dxa"/>
          </w:tcPr>
          <w:p w14:paraId="2D96CA69" w14:textId="4B012800" w:rsidR="005D6853" w:rsidRPr="00066777" w:rsidRDefault="00CD0BCF" w:rsidP="0009619A">
            <w:pPr>
              <w:pStyle w:val="Tabletext"/>
            </w:pPr>
            <w:r w:rsidRPr="00066777">
              <w:t>Breach Reporting</w:t>
            </w:r>
          </w:p>
        </w:tc>
        <w:tc>
          <w:tcPr>
            <w:tcW w:w="7022" w:type="dxa"/>
          </w:tcPr>
          <w:p w14:paraId="5B0ED4AB" w14:textId="77777777" w:rsidR="00CD0BCF" w:rsidRPr="00066777" w:rsidRDefault="00CD0BCF" w:rsidP="0009619A">
            <w:pPr>
              <w:pStyle w:val="Tabletext"/>
              <w:cnfStyle w:val="000000000000" w:firstRow="0" w:lastRow="0" w:firstColumn="0" w:lastColumn="0" w:oddVBand="0" w:evenVBand="0" w:oddHBand="0" w:evenHBand="0" w:firstRowFirstColumn="0" w:firstRowLastColumn="0" w:lastRowFirstColumn="0" w:lastRowLastColumn="0"/>
            </w:pPr>
            <w:r w:rsidRPr="00066777">
              <w:t>S912DAA- Failure to notify ASIC of reportable matters (significant breaches)</w:t>
            </w:r>
          </w:p>
          <w:p w14:paraId="0CDFF417" w14:textId="6301891F" w:rsidR="005D6853" w:rsidRPr="00066777" w:rsidRDefault="00CD0BCF" w:rsidP="0009619A">
            <w:pPr>
              <w:pStyle w:val="Tabletext"/>
              <w:cnfStyle w:val="000000000000" w:firstRow="0" w:lastRow="0" w:firstColumn="0" w:lastColumn="0" w:oddVBand="0" w:evenVBand="0" w:oddHBand="0" w:evenHBand="0" w:firstRowFirstColumn="0" w:firstRowLastColumn="0" w:lastRowFirstColumn="0" w:lastRowLastColumn="0"/>
            </w:pPr>
            <w:r w:rsidRPr="00066777">
              <w:t>S912EB - Failure to investigate reportable situations that affect clients (Significant breach of core obligations or gross negligence or fraud) AND the client has or will suffer a loss); notify clients within 10 days and compensate within 30 days of the investigation completing</w:t>
            </w:r>
          </w:p>
        </w:tc>
      </w:tr>
      <w:tr w:rsidR="005D6853" w14:paraId="04C86840" w14:textId="77777777" w:rsidTr="0009619A">
        <w:tc>
          <w:tcPr>
            <w:cnfStyle w:val="001000000000" w:firstRow="0" w:lastRow="0" w:firstColumn="1" w:lastColumn="0" w:oddVBand="0" w:evenVBand="0" w:oddHBand="0" w:evenHBand="0" w:firstRowFirstColumn="0" w:firstRowLastColumn="0" w:lastRowFirstColumn="0" w:lastRowLastColumn="0"/>
            <w:tcW w:w="2832" w:type="dxa"/>
          </w:tcPr>
          <w:p w14:paraId="5679CB6B" w14:textId="527A87AC" w:rsidR="005D6853" w:rsidRPr="00066777" w:rsidRDefault="006D426F" w:rsidP="0009619A">
            <w:pPr>
              <w:pStyle w:val="Tabletext"/>
            </w:pPr>
            <w:r w:rsidRPr="00066777">
              <w:t>Disclosure documents</w:t>
            </w:r>
          </w:p>
        </w:tc>
        <w:tc>
          <w:tcPr>
            <w:tcW w:w="7022" w:type="dxa"/>
          </w:tcPr>
          <w:p w14:paraId="459FB773" w14:textId="77777777" w:rsidR="006D426F" w:rsidRPr="00066777" w:rsidRDefault="006D426F" w:rsidP="0009619A">
            <w:pPr>
              <w:pStyle w:val="Tabletext"/>
              <w:cnfStyle w:val="000000000000" w:firstRow="0" w:lastRow="0" w:firstColumn="0" w:lastColumn="0" w:oddVBand="0" w:evenVBand="0" w:oddHBand="0" w:evenHBand="0" w:firstRowFirstColumn="0" w:firstRowLastColumn="0" w:lastRowFirstColumn="0" w:lastRowLastColumn="0"/>
            </w:pPr>
            <w:r w:rsidRPr="00066777">
              <w:t xml:space="preserve">S946A(4) - Failure to provide a Statement of Advice </w:t>
            </w:r>
          </w:p>
          <w:p w14:paraId="1B4D8B99" w14:textId="77777777" w:rsidR="006D426F" w:rsidRPr="00066777" w:rsidRDefault="006D426F" w:rsidP="0009619A">
            <w:pPr>
              <w:pStyle w:val="Tabletext"/>
              <w:cnfStyle w:val="000000000000" w:firstRow="0" w:lastRow="0" w:firstColumn="0" w:lastColumn="0" w:oddVBand="0" w:evenVBand="0" w:oddHBand="0" w:evenHBand="0" w:firstRowFirstColumn="0" w:firstRowLastColumn="0" w:lastRowFirstColumn="0" w:lastRowLastColumn="0"/>
            </w:pPr>
            <w:r w:rsidRPr="00066777">
              <w:t>S952C - s952HJA - Failure to give a disclosure document or giving a defective disclosure document or statement (i.e. misleading or deceptive statement or material omission) including an FSG, Website Disclosure Information and SoA</w:t>
            </w:r>
          </w:p>
          <w:p w14:paraId="08F137BD" w14:textId="7F9286F7" w:rsidR="006D426F" w:rsidRPr="00066777" w:rsidRDefault="006D426F" w:rsidP="0009619A">
            <w:pPr>
              <w:pStyle w:val="Tabletext"/>
              <w:cnfStyle w:val="000000000000" w:firstRow="0" w:lastRow="0" w:firstColumn="0" w:lastColumn="0" w:oddVBand="0" w:evenVBand="0" w:oddHBand="0" w:evenHBand="0" w:firstRowFirstColumn="0" w:firstRowLastColumn="0" w:lastRowFirstColumn="0" w:lastRowLastColumn="0"/>
            </w:pPr>
            <w:r w:rsidRPr="00066777">
              <w:t xml:space="preserve">S952K </w:t>
            </w:r>
            <w:r w:rsidR="00066777" w:rsidRPr="00066777">
              <w:t>- Distribution</w:t>
            </w:r>
            <w:r w:rsidRPr="00066777">
              <w:t xml:space="preserve"> by authorised representative of unauthorised FSG, supplementary FSG or website disclosure information</w:t>
            </w:r>
          </w:p>
          <w:p w14:paraId="28F40841" w14:textId="77777777" w:rsidR="006D426F" w:rsidRPr="00066777" w:rsidRDefault="006D426F" w:rsidP="0009619A">
            <w:pPr>
              <w:pStyle w:val="Tabletext"/>
              <w:cnfStyle w:val="000000000000" w:firstRow="0" w:lastRow="0" w:firstColumn="0" w:lastColumn="0" w:oddVBand="0" w:evenVBand="0" w:oddHBand="0" w:evenHBand="0" w:firstRowFirstColumn="0" w:firstRowLastColumn="0" w:lastRowFirstColumn="0" w:lastRowLastColumn="0"/>
            </w:pPr>
            <w:r w:rsidRPr="00066777">
              <w:t>S952L - Failure to remedy where FSG or website disclosure information found to be defective</w:t>
            </w:r>
          </w:p>
          <w:p w14:paraId="34ED811A" w14:textId="77777777" w:rsidR="006D426F" w:rsidRPr="00066777" w:rsidRDefault="006D426F" w:rsidP="0009619A">
            <w:pPr>
              <w:pStyle w:val="Tabletext"/>
              <w:cnfStyle w:val="000000000000" w:firstRow="0" w:lastRow="0" w:firstColumn="0" w:lastColumn="0" w:oddVBand="0" w:evenVBand="0" w:oddHBand="0" w:evenHBand="0" w:firstRowFirstColumn="0" w:firstRowLastColumn="0" w:lastRowFirstColumn="0" w:lastRowLastColumn="0"/>
            </w:pPr>
            <w:r w:rsidRPr="00066777">
              <w:t>S952M - Unauthorised alteration of FSG, supplementary FSG or website disclosure information</w:t>
            </w:r>
          </w:p>
          <w:p w14:paraId="197DA8FB" w14:textId="1449FA96" w:rsidR="005D6853" w:rsidRPr="00066777" w:rsidRDefault="006D426F" w:rsidP="0009619A">
            <w:pPr>
              <w:pStyle w:val="Tabletext"/>
              <w:cnfStyle w:val="000000000000" w:firstRow="0" w:lastRow="0" w:firstColumn="0" w:lastColumn="0" w:oddVBand="0" w:evenVBand="0" w:oddHBand="0" w:evenHBand="0" w:firstRowFirstColumn="0" w:firstRowLastColumn="0" w:lastRowFirstColumn="0" w:lastRowLastColumn="0"/>
            </w:pPr>
            <w:r w:rsidRPr="00066777">
              <w:t>S1021C - S1021K</w:t>
            </w:r>
            <w:r w:rsidR="00066777" w:rsidRPr="00066777">
              <w:t>- Breaches</w:t>
            </w:r>
            <w:r w:rsidRPr="00066777">
              <w:t xml:space="preserve"> relating to PDS and supplementary PDS, including failing to provide; failure of AFSL to ensure ARs provide; &amp; provision of defective PDS</w:t>
            </w:r>
          </w:p>
        </w:tc>
      </w:tr>
      <w:tr w:rsidR="0064508F" w14:paraId="3F083D3C"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5F85E18E" w14:textId="17942397" w:rsidR="0064508F" w:rsidRPr="00066777" w:rsidRDefault="0064508F" w:rsidP="0009619A">
            <w:pPr>
              <w:pStyle w:val="Tabletext"/>
            </w:pPr>
            <w:r w:rsidRPr="00066777">
              <w:t>Best Interests Duty</w:t>
            </w:r>
          </w:p>
        </w:tc>
        <w:tc>
          <w:tcPr>
            <w:tcW w:w="0" w:type="dxa"/>
          </w:tcPr>
          <w:p w14:paraId="267A90D1" w14:textId="77777777" w:rsidR="0064508F" w:rsidRPr="0009619A" w:rsidRDefault="005A5AF7" w:rsidP="0009619A">
            <w:pPr>
              <w:pStyle w:val="Tabletext"/>
              <w:cnfStyle w:val="000000000000" w:firstRow="0" w:lastRow="0" w:firstColumn="0" w:lastColumn="0" w:oddVBand="0" w:evenVBand="0" w:oddHBand="0" w:evenHBand="0" w:firstRowFirstColumn="0" w:firstRowLastColumn="0" w:lastRowFirstColumn="0" w:lastRowLastColumn="0"/>
            </w:pPr>
            <w:r w:rsidRPr="00066777">
              <w:t xml:space="preserve">S961B </w:t>
            </w:r>
            <w:r w:rsidR="00FB4192" w:rsidRPr="00066777">
              <w:t xml:space="preserve">- </w:t>
            </w:r>
            <w:r w:rsidR="00BA0C13" w:rsidRPr="0009619A">
              <w:t>Failure to act in the best interests of the client</w:t>
            </w:r>
          </w:p>
          <w:p w14:paraId="2CC7F229" w14:textId="77777777" w:rsidR="00BA0C13" w:rsidRPr="0009619A" w:rsidRDefault="009A7A9A" w:rsidP="0009619A">
            <w:pPr>
              <w:pStyle w:val="Tabletext"/>
              <w:cnfStyle w:val="000000000000" w:firstRow="0" w:lastRow="0" w:firstColumn="0" w:lastColumn="0" w:oddVBand="0" w:evenVBand="0" w:oddHBand="0" w:evenHBand="0" w:firstRowFirstColumn="0" w:firstRowLastColumn="0" w:lastRowFirstColumn="0" w:lastRowLastColumn="0"/>
            </w:pPr>
            <w:r w:rsidRPr="0009619A">
              <w:t>S961G – Failure to give advice that is appropriate</w:t>
            </w:r>
          </w:p>
          <w:p w14:paraId="325CD7B5" w14:textId="77777777" w:rsidR="004B7C0F" w:rsidRPr="0009619A" w:rsidRDefault="004B7C0F" w:rsidP="0009619A">
            <w:pPr>
              <w:pStyle w:val="Tabletext"/>
              <w:cnfStyle w:val="000000000000" w:firstRow="0" w:lastRow="0" w:firstColumn="0" w:lastColumn="0" w:oddVBand="0" w:evenVBand="0" w:oddHBand="0" w:evenHBand="0" w:firstRowFirstColumn="0" w:firstRowLastColumn="0" w:lastRowFirstColumn="0" w:lastRowLastColumn="0"/>
            </w:pPr>
            <w:r w:rsidRPr="0009619A">
              <w:t>S961H – Failure to warn that advice is or may be based on incomplete or inaccurate information</w:t>
            </w:r>
          </w:p>
          <w:p w14:paraId="09D3A62A" w14:textId="77777777" w:rsidR="004B7C0F" w:rsidRPr="0009619A" w:rsidRDefault="00C54BD7" w:rsidP="0009619A">
            <w:pPr>
              <w:pStyle w:val="Tabletext"/>
              <w:cnfStyle w:val="000000000000" w:firstRow="0" w:lastRow="0" w:firstColumn="0" w:lastColumn="0" w:oddVBand="0" w:evenVBand="0" w:oddHBand="0" w:evenHBand="0" w:firstRowFirstColumn="0" w:firstRowLastColumn="0" w:lastRowFirstColumn="0" w:lastRowLastColumn="0"/>
            </w:pPr>
            <w:r w:rsidRPr="0009619A">
              <w:t>S961J – Failure to prioritise the client’s interest where there is a conflict between the interests of the clients and the advice provider</w:t>
            </w:r>
          </w:p>
          <w:p w14:paraId="2E2AE7B8" w14:textId="5FD26C9F" w:rsidR="005B243F" w:rsidRPr="00066777" w:rsidRDefault="005B243F" w:rsidP="0009619A">
            <w:pPr>
              <w:pStyle w:val="Tabletext"/>
              <w:cnfStyle w:val="000000000000" w:firstRow="0" w:lastRow="0" w:firstColumn="0" w:lastColumn="0" w:oddVBand="0" w:evenVBand="0" w:oddHBand="0" w:evenHBand="0" w:firstRowFirstColumn="0" w:firstRowLastColumn="0" w:lastRowFirstColumn="0" w:lastRowLastColumn="0"/>
            </w:pPr>
            <w:r w:rsidRPr="0009619A">
              <w:t>See also S961K(1) and (2), S961L and S961Q(1)</w:t>
            </w:r>
          </w:p>
        </w:tc>
      </w:tr>
      <w:tr w:rsidR="0064508F" w14:paraId="2A49A76F"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45F86AAE" w14:textId="5373563C" w:rsidR="0064508F" w:rsidRPr="00066777" w:rsidRDefault="005B243F" w:rsidP="0009619A">
            <w:pPr>
              <w:pStyle w:val="Tabletext"/>
            </w:pPr>
            <w:r w:rsidRPr="00066777">
              <w:t>Ongoing Fee Arrangements</w:t>
            </w:r>
          </w:p>
        </w:tc>
        <w:tc>
          <w:tcPr>
            <w:tcW w:w="0" w:type="dxa"/>
          </w:tcPr>
          <w:p w14:paraId="662165C2" w14:textId="70F06CC4" w:rsidR="0064508F" w:rsidRPr="00066777" w:rsidRDefault="00181B72" w:rsidP="0009619A">
            <w:pPr>
              <w:pStyle w:val="Tabletext"/>
              <w:cnfStyle w:val="000000000000" w:firstRow="0" w:lastRow="0" w:firstColumn="0" w:lastColumn="0" w:oddVBand="0" w:evenVBand="0" w:oddHBand="0" w:evenHBand="0" w:firstRowFirstColumn="0" w:firstRowLastColumn="0" w:lastRowFirstColumn="0" w:lastRowLastColumn="0"/>
            </w:pPr>
            <w:r w:rsidRPr="0009619A">
              <w:t>S962R</w:t>
            </w:r>
            <w:r w:rsidR="00BC3DE6" w:rsidRPr="0009619A">
              <w:t xml:space="preserve"> &amp; S</w:t>
            </w:r>
            <w:r w:rsidRPr="0009619A">
              <w:t xml:space="preserve"> - Deducting ongoing fees without consent</w:t>
            </w:r>
            <w:r w:rsidRPr="0009619A">
              <w:br/>
              <w:t>S962X - Failure to keep records of consent to deduct fees</w:t>
            </w:r>
            <w:r w:rsidRPr="0009619A">
              <w:br/>
              <w:t>S962Z - Charging ongoing fees after agreement terminated</w:t>
            </w:r>
          </w:p>
        </w:tc>
      </w:tr>
      <w:tr w:rsidR="0064508F" w14:paraId="1B60DD35"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3674B4E1" w14:textId="00DFA84B" w:rsidR="0064508F" w:rsidRPr="00066777" w:rsidRDefault="009A0866" w:rsidP="0009619A">
            <w:pPr>
              <w:pStyle w:val="Tabletext"/>
            </w:pPr>
            <w:r w:rsidRPr="00066777">
              <w:t>Conflicted</w:t>
            </w:r>
            <w:r w:rsidR="007E04E3" w:rsidRPr="00066777">
              <w:t xml:space="preserve"> Remuneration</w:t>
            </w:r>
          </w:p>
        </w:tc>
        <w:tc>
          <w:tcPr>
            <w:tcW w:w="0" w:type="dxa"/>
          </w:tcPr>
          <w:p w14:paraId="2D36681E" w14:textId="77777777" w:rsidR="005D7616" w:rsidRPr="00066777" w:rsidRDefault="005D7616" w:rsidP="0009619A">
            <w:pPr>
              <w:pStyle w:val="Tabletext"/>
              <w:cnfStyle w:val="000000000000" w:firstRow="0" w:lastRow="0" w:firstColumn="0" w:lastColumn="0" w:oddVBand="0" w:evenVBand="0" w:oddHBand="0" w:evenHBand="0" w:firstRowFirstColumn="0" w:firstRowLastColumn="0" w:lastRowFirstColumn="0" w:lastRowLastColumn="0"/>
            </w:pPr>
            <w:r w:rsidRPr="00066777">
              <w:t>S963E(1) and (2) - A licensee accepts conflicted remuneration</w:t>
            </w:r>
          </w:p>
          <w:p w14:paraId="1B450085" w14:textId="77777777" w:rsidR="005D7616" w:rsidRPr="00066777" w:rsidRDefault="005D7616" w:rsidP="0009619A">
            <w:pPr>
              <w:pStyle w:val="Tabletext"/>
              <w:cnfStyle w:val="000000000000" w:firstRow="0" w:lastRow="0" w:firstColumn="0" w:lastColumn="0" w:oddVBand="0" w:evenVBand="0" w:oddHBand="0" w:evenHBand="0" w:firstRowFirstColumn="0" w:firstRowLastColumn="0" w:lastRowFirstColumn="0" w:lastRowLastColumn="0"/>
            </w:pPr>
            <w:r w:rsidRPr="00066777">
              <w:t>S963F - A licensee failed to take reasonable steps to ensure that representatives of the licensee do not accept conflicted remuneration</w:t>
            </w:r>
          </w:p>
          <w:p w14:paraId="4131BBF1" w14:textId="77777777" w:rsidR="005D7616" w:rsidRPr="00066777" w:rsidRDefault="005D7616" w:rsidP="0009619A">
            <w:pPr>
              <w:pStyle w:val="Tabletext"/>
              <w:cnfStyle w:val="000000000000" w:firstRow="0" w:lastRow="0" w:firstColumn="0" w:lastColumn="0" w:oddVBand="0" w:evenVBand="0" w:oddHBand="0" w:evenHBand="0" w:firstRowFirstColumn="0" w:firstRowLastColumn="0" w:lastRowFirstColumn="0" w:lastRowLastColumn="0"/>
            </w:pPr>
            <w:r w:rsidRPr="00066777">
              <w:t>S963G(1) - An authorised representative accepts conflicted remuneration</w:t>
            </w:r>
          </w:p>
          <w:p w14:paraId="364BF774" w14:textId="2C03ED49" w:rsidR="0064508F" w:rsidRPr="00066777" w:rsidRDefault="005D7616" w:rsidP="0009619A">
            <w:pPr>
              <w:pStyle w:val="Tabletext"/>
              <w:cnfStyle w:val="000000000000" w:firstRow="0" w:lastRow="0" w:firstColumn="0" w:lastColumn="0" w:oddVBand="0" w:evenVBand="0" w:oddHBand="0" w:evenHBand="0" w:firstRowFirstColumn="0" w:firstRowLastColumn="0" w:lastRowFirstColumn="0" w:lastRowLastColumn="0"/>
            </w:pPr>
            <w:r w:rsidRPr="00066777">
              <w:t>S963J – An employer pays employees conflicted remuneration</w:t>
            </w:r>
          </w:p>
        </w:tc>
      </w:tr>
      <w:tr w:rsidR="003C2F6F" w14:paraId="2B11D06F"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197B77C4" w14:textId="2BE5C47F" w:rsidR="003C2F6F" w:rsidRPr="00066777" w:rsidRDefault="003C2F6F" w:rsidP="0009619A">
            <w:pPr>
              <w:pStyle w:val="Tabletext"/>
            </w:pPr>
            <w:r w:rsidRPr="0009619A">
              <w:t>Asset Based Fees</w:t>
            </w:r>
          </w:p>
        </w:tc>
        <w:tc>
          <w:tcPr>
            <w:tcW w:w="0" w:type="dxa"/>
          </w:tcPr>
          <w:p w14:paraId="477BAA54" w14:textId="77777777" w:rsidR="003C2F6F" w:rsidRPr="0009619A" w:rsidRDefault="003C2F6F" w:rsidP="0009619A">
            <w:pPr>
              <w:pStyle w:val="Tabletext"/>
              <w:cnfStyle w:val="000000000000" w:firstRow="0" w:lastRow="0" w:firstColumn="0" w:lastColumn="0" w:oddVBand="0" w:evenVBand="0" w:oddHBand="0" w:evenHBand="0" w:firstRowFirstColumn="0" w:firstRowLastColumn="0" w:lastRowFirstColumn="0" w:lastRowLastColumn="0"/>
            </w:pPr>
            <w:r w:rsidRPr="0009619A">
              <w:t>S964D(1) and (2) – Licensee charges an asset-based fee on a borrowed amount used to acquire financial products</w:t>
            </w:r>
          </w:p>
          <w:p w14:paraId="30AE5579" w14:textId="43B88B32" w:rsidR="003C2F6F" w:rsidRPr="00066777" w:rsidRDefault="003C2F6F" w:rsidP="0009619A">
            <w:pPr>
              <w:pStyle w:val="Tabletext"/>
              <w:cnfStyle w:val="000000000000" w:firstRow="0" w:lastRow="0" w:firstColumn="0" w:lastColumn="0" w:oddVBand="0" w:evenVBand="0" w:oddHBand="0" w:evenHBand="0" w:firstRowFirstColumn="0" w:firstRowLastColumn="0" w:lastRowFirstColumn="0" w:lastRowLastColumn="0"/>
            </w:pPr>
            <w:r w:rsidRPr="0009619A">
              <w:t>S964E – An authorised representative charged an asset-based fee on a borrowed amount used to acquire financial products</w:t>
            </w:r>
          </w:p>
        </w:tc>
      </w:tr>
      <w:tr w:rsidR="003C2F6F" w14:paraId="080D69AC"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34225822" w14:textId="059BB15C" w:rsidR="003C2F6F" w:rsidRPr="00066777" w:rsidRDefault="003C2F6F" w:rsidP="00E63B91">
            <w:pPr>
              <w:pStyle w:val="Tabletext"/>
            </w:pPr>
            <w:r w:rsidRPr="00E63B91">
              <w:lastRenderedPageBreak/>
              <w:t>Margin lending</w:t>
            </w:r>
          </w:p>
        </w:tc>
        <w:tc>
          <w:tcPr>
            <w:tcW w:w="0" w:type="dxa"/>
          </w:tcPr>
          <w:p w14:paraId="249BCCD2" w14:textId="179DB1FF" w:rsidR="003C2F6F" w:rsidRPr="00066777" w:rsidRDefault="005D4AAB" w:rsidP="00E63B91">
            <w:pPr>
              <w:pStyle w:val="Tabletext"/>
              <w:cnfStyle w:val="000000000000" w:firstRow="0" w:lastRow="0" w:firstColumn="0" w:lastColumn="0" w:oddVBand="0" w:evenVBand="0" w:oddHBand="0" w:evenHBand="0" w:firstRowFirstColumn="0" w:firstRowLastColumn="0" w:lastRowFirstColumn="0" w:lastRowLastColumn="0"/>
            </w:pPr>
            <w:r w:rsidRPr="00E63B91">
              <w:t>S985 – Various failures when dealing with margin lending including failure to make an assessment if a margin lending facility is unsuitable and failure to notify of a margin call</w:t>
            </w:r>
          </w:p>
        </w:tc>
      </w:tr>
      <w:tr w:rsidR="00066777" w14:paraId="5B05DB78"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03947D25" w14:textId="75E2DC7E" w:rsidR="00066777" w:rsidRPr="00E63B91" w:rsidRDefault="00066777" w:rsidP="00E63B91">
            <w:pPr>
              <w:pStyle w:val="Tabletext"/>
            </w:pPr>
            <w:r w:rsidRPr="00E63B91">
              <w:t>General Advice Warning</w:t>
            </w:r>
          </w:p>
        </w:tc>
        <w:tc>
          <w:tcPr>
            <w:tcW w:w="0" w:type="dxa"/>
          </w:tcPr>
          <w:p w14:paraId="7291B627" w14:textId="4DB116B3" w:rsidR="00066777" w:rsidRPr="00E63B91" w:rsidRDefault="00066777" w:rsidP="00E63B91">
            <w:pPr>
              <w:pStyle w:val="Tabletext"/>
              <w:cnfStyle w:val="000000000000" w:firstRow="0" w:lastRow="0" w:firstColumn="0" w:lastColumn="0" w:oddVBand="0" w:evenVBand="0" w:oddHBand="0" w:evenHBand="0" w:firstRowFirstColumn="0" w:firstRowLastColumn="0" w:lastRowFirstColumn="0" w:lastRowLastColumn="0"/>
            </w:pPr>
            <w:r w:rsidRPr="00E63B91">
              <w:t>S949A – Obligation to give a general advice warning</w:t>
            </w:r>
          </w:p>
        </w:tc>
      </w:tr>
      <w:tr w:rsidR="00066777" w14:paraId="5DB87466"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6197A5AB" w14:textId="1B31BCF8" w:rsidR="00066777" w:rsidRPr="00E63B91" w:rsidRDefault="00066777" w:rsidP="00E63B91">
            <w:pPr>
              <w:pStyle w:val="Tabletext"/>
            </w:pPr>
            <w:r w:rsidRPr="00E63B91">
              <w:t>Sole Purpose Test</w:t>
            </w:r>
          </w:p>
        </w:tc>
        <w:tc>
          <w:tcPr>
            <w:tcW w:w="0" w:type="dxa"/>
          </w:tcPr>
          <w:p w14:paraId="11BB6904" w14:textId="1DC0A194" w:rsidR="00066777" w:rsidRPr="00E63B91" w:rsidRDefault="00066777" w:rsidP="00E63B91">
            <w:pPr>
              <w:pStyle w:val="Tabletext"/>
              <w:cnfStyle w:val="000000000000" w:firstRow="0" w:lastRow="0" w:firstColumn="0" w:lastColumn="0" w:oddVBand="0" w:evenVBand="0" w:oddHBand="0" w:evenHBand="0" w:firstRowFirstColumn="0" w:firstRowLastColumn="0" w:lastRowFirstColumn="0" w:lastRowLastColumn="0"/>
            </w:pPr>
            <w:r w:rsidRPr="00E63B91">
              <w:t>Superannuation Industry Supervision Act, s62 - Super fund must be maintained for a core or ancillary purpose. Certain advice fees may breach sole purpose test</w:t>
            </w:r>
          </w:p>
        </w:tc>
      </w:tr>
      <w:tr w:rsidR="00066777" w14:paraId="041F1EB5"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6060CED7" w14:textId="5E2B3ED9" w:rsidR="00066777" w:rsidRPr="00E63B91" w:rsidRDefault="00066777" w:rsidP="00E63B91">
            <w:pPr>
              <w:pStyle w:val="Tabletext"/>
            </w:pPr>
            <w:r w:rsidRPr="00E63B91">
              <w:t>Website Disclosure Information</w:t>
            </w:r>
            <w:r w:rsidRPr="00E63B91">
              <w:br/>
            </w:r>
            <w:r w:rsidRPr="00E63B91">
              <w:br/>
              <w:t>Applicable where Website Disclosure Information relied on for disclosure</w:t>
            </w:r>
          </w:p>
        </w:tc>
        <w:tc>
          <w:tcPr>
            <w:tcW w:w="0" w:type="dxa"/>
          </w:tcPr>
          <w:p w14:paraId="7CEBFB93" w14:textId="020373D3" w:rsidR="00066777" w:rsidRPr="00E63B91" w:rsidRDefault="00066777" w:rsidP="00E63B91">
            <w:pPr>
              <w:pStyle w:val="Tabletext"/>
              <w:cnfStyle w:val="000000000000" w:firstRow="0" w:lastRow="0" w:firstColumn="0" w:lastColumn="0" w:oddVBand="0" w:evenVBand="0" w:oddHBand="0" w:evenHBand="0" w:firstRowFirstColumn="0" w:firstRowLastColumn="0" w:lastRowFirstColumn="0" w:lastRowLastColumn="0"/>
            </w:pPr>
            <w:r w:rsidRPr="00E63B91">
              <w:t>S943G - Obligation on financial services licensee to make website disclosure information available</w:t>
            </w:r>
            <w:r w:rsidRPr="00E63B91">
              <w:br/>
              <w:t>S943H - Obligation on authorised representative to make website disclosure information available</w:t>
            </w:r>
            <w:r w:rsidRPr="00E63B91">
              <w:br/>
              <w:t>S943K - Website disclosure information must be readily available</w:t>
            </w:r>
            <w:r w:rsidRPr="00E63B91">
              <w:br/>
              <w:t>S943L - Website disclosure information must be kept up to date</w:t>
            </w:r>
            <w:r w:rsidRPr="00E63B91">
              <w:br/>
              <w:t>S943M - Altering website disclosure information after it has been made available without authorisation by the AFSL and not specifying the date of alternation</w:t>
            </w:r>
            <w:r w:rsidRPr="00E63B91">
              <w:br/>
              <w:t xml:space="preserve">S943N - Failing to provide an RoA when requested where Website Disclosure Information states that a client may request an RoA </w:t>
            </w:r>
          </w:p>
        </w:tc>
      </w:tr>
      <w:tr w:rsidR="00066777" w14:paraId="0B69A9A9"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67A762A1" w14:textId="3C16F2FC" w:rsidR="00066777" w:rsidRPr="00E63B91" w:rsidRDefault="00066777" w:rsidP="00E63B91">
            <w:pPr>
              <w:pStyle w:val="Tabletext"/>
            </w:pPr>
            <w:r w:rsidRPr="00E63B91">
              <w:t>Financial Records &amp; Financial Audits</w:t>
            </w:r>
          </w:p>
        </w:tc>
        <w:tc>
          <w:tcPr>
            <w:tcW w:w="0" w:type="dxa"/>
          </w:tcPr>
          <w:p w14:paraId="1B7FA856" w14:textId="597F1CF3" w:rsidR="00066777" w:rsidRPr="00E63B91" w:rsidRDefault="00066777" w:rsidP="00E63B91">
            <w:pPr>
              <w:pStyle w:val="Tabletext"/>
              <w:cnfStyle w:val="000000000000" w:firstRow="0" w:lastRow="0" w:firstColumn="0" w:lastColumn="0" w:oddVBand="0" w:evenVBand="0" w:oddHBand="0" w:evenHBand="0" w:firstRowFirstColumn="0" w:firstRowLastColumn="0" w:lastRowFirstColumn="0" w:lastRowLastColumn="0"/>
            </w:pPr>
            <w:r w:rsidRPr="00E63B91">
              <w:t>S988A(1) - Failure to keep financial records that correctly record and explain the AFSL's transaction and financial position</w:t>
            </w:r>
            <w:r w:rsidRPr="00E63B91">
              <w:br/>
              <w:t>S989B - Failure by AFSL to prepare and lodge profit &amp; loss statement and balance sheet and lodge forms FS70 &amp; FS71 with ASIC</w:t>
            </w:r>
            <w:r w:rsidRPr="00E63B91">
              <w:br/>
              <w:t>S990B - Failure to appoint financial auditor within 1 month of obtaining licence or 14 days from when a vacancy occurs</w:t>
            </w:r>
            <w:r w:rsidRPr="00E63B91">
              <w:br/>
              <w:t xml:space="preserve">S990F -  Failure to remove auditor when auditor becomes ineligible to act as auditor </w:t>
            </w:r>
            <w:r w:rsidRPr="00E63B91">
              <w:br/>
              <w:t>S990I - Obstructing or refusing financial auditor's right of access to records and information</w:t>
            </w:r>
          </w:p>
        </w:tc>
      </w:tr>
      <w:tr w:rsidR="00066777" w14:paraId="3255D7F3" w14:textId="77777777" w:rsidTr="0009619A">
        <w:tc>
          <w:tcPr>
            <w:cnfStyle w:val="001000000000" w:firstRow="0" w:lastRow="0" w:firstColumn="1" w:lastColumn="0" w:oddVBand="0" w:evenVBand="0" w:oddHBand="0" w:evenHBand="0" w:firstRowFirstColumn="0" w:firstRowLastColumn="0" w:lastRowFirstColumn="0" w:lastRowLastColumn="0"/>
            <w:tcW w:w="0" w:type="dxa"/>
          </w:tcPr>
          <w:p w14:paraId="6922FDBB" w14:textId="57747374" w:rsidR="00066777" w:rsidRPr="00E63B91" w:rsidRDefault="00066777" w:rsidP="00E63B91">
            <w:pPr>
              <w:pStyle w:val="Tabletext"/>
            </w:pPr>
            <w:r w:rsidRPr="00E63B91">
              <w:t>Design and Distribution Obligations</w:t>
            </w:r>
          </w:p>
        </w:tc>
        <w:tc>
          <w:tcPr>
            <w:tcW w:w="0" w:type="dxa"/>
          </w:tcPr>
          <w:p w14:paraId="7E6CE338" w14:textId="7C867210" w:rsidR="00066777" w:rsidRPr="00E63B91" w:rsidRDefault="00066777" w:rsidP="00E63B91">
            <w:pPr>
              <w:pStyle w:val="Tabletext"/>
              <w:cnfStyle w:val="000000000000" w:firstRow="0" w:lastRow="0" w:firstColumn="0" w:lastColumn="0" w:oddVBand="0" w:evenVBand="0" w:oddHBand="0" w:evenHBand="0" w:firstRowFirstColumn="0" w:firstRowLastColumn="0" w:lastRowFirstColumn="0" w:lastRowLastColumn="0"/>
            </w:pPr>
            <w:r w:rsidRPr="00E63B91">
              <w:t>S994F(2) - Obligation to collect and complete records of product distribution, including number of complaints received in relation to product and other reportable information</w:t>
            </w:r>
          </w:p>
        </w:tc>
      </w:tr>
    </w:tbl>
    <w:p w14:paraId="24CA363F" w14:textId="77777777" w:rsidR="005D6853" w:rsidRPr="008942DA" w:rsidRDefault="005D6853" w:rsidP="00E63B91">
      <w:pPr>
        <w:pStyle w:val="BodyText"/>
      </w:pPr>
    </w:p>
    <w:sectPr w:rsidR="005D6853" w:rsidRPr="008942DA" w:rsidSect="0009619A">
      <w:headerReference w:type="default" r:id="rId12"/>
      <w:footerReference w:type="default" r:id="rId13"/>
      <w:headerReference w:type="first" r:id="rId14"/>
      <w:footerReference w:type="first" r:id="rId15"/>
      <w:pgSz w:w="11906" w:h="16838" w:code="9"/>
      <w:pgMar w:top="794" w:right="1021" w:bottom="1701" w:left="1021" w:header="567" w:footer="794" w:gutter="0"/>
      <w:cols w:space="708" w:equalWidth="0">
        <w:col w:w="9864"/>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5D30" w14:textId="77777777" w:rsidR="00F45413" w:rsidRDefault="00F45413" w:rsidP="008F222C">
      <w:r>
        <w:separator/>
      </w:r>
    </w:p>
  </w:endnote>
  <w:endnote w:type="continuationSeparator" w:id="0">
    <w:p w14:paraId="3DFD6BF5" w14:textId="77777777" w:rsidR="00F45413" w:rsidRDefault="00F45413" w:rsidP="008F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EE4" w14:textId="706384D1" w:rsidR="00DC0723" w:rsidRDefault="00000000">
    <w:pPr>
      <w:pStyle w:val="Footer"/>
    </w:pPr>
    <w:sdt>
      <w:sdtPr>
        <w:rPr>
          <w:rStyle w:val="Strong"/>
        </w:rPr>
        <w:alias w:val="Title"/>
        <w:tag w:val=""/>
        <w:id w:val="1719476878"/>
        <w:dataBinding w:prefixMappings="xmlns:ns0='http://purl.org/dc/elements/1.1/' xmlns:ns1='http://schemas.openxmlformats.org/package/2006/metadata/core-properties' " w:xpath="/ns1:coreProperties[1]/ns0:title[1]" w:storeItemID="{6C3C8BC8-F283-45AE-878A-BAB7291924A1}"/>
        <w:text/>
      </w:sdtPr>
      <w:sdtContent>
        <w:r w:rsidR="00E3784F">
          <w:rPr>
            <w:rStyle w:val="Strong"/>
          </w:rPr>
          <w:t>Breach Reporting Procedures</w:t>
        </w:r>
      </w:sdtContent>
    </w:sdt>
    <w:r w:rsidR="00DC0723" w:rsidRPr="00A55490">
      <w:t xml:space="preserve"> </w:t>
    </w:r>
    <w:sdt>
      <w:sdtPr>
        <w:alias w:val="Subject"/>
        <w:tag w:val=""/>
        <w:id w:val="-146747061"/>
        <w:dataBinding w:prefixMappings="xmlns:ns0='http://purl.org/dc/elements/1.1/' xmlns:ns1='http://schemas.openxmlformats.org/package/2006/metadata/core-properties' " w:xpath="/ns1:coreProperties[1]/ns0:subject[1]" w:storeItemID="{6C3C8BC8-F283-45AE-878A-BAB7291924A1}"/>
        <w:text/>
      </w:sdtPr>
      <w:sdtContent>
        <w:r w:rsidR="00DC0723" w:rsidRPr="00A55490">
          <w:t>[Licensee | AFSL number]</w:t>
        </w:r>
      </w:sdtContent>
    </w:sdt>
    <w:r w:rsidR="00DC0723" w:rsidRPr="00A55490">
      <w:t xml:space="preserve"> | </w:t>
    </w:r>
    <w:sdt>
      <w:sdtPr>
        <w:alias w:val="Status"/>
        <w:tag w:val=""/>
        <w:id w:val="-1937277888"/>
        <w:dataBinding w:prefixMappings="xmlns:ns0='http://purl.org/dc/elements/1.1/' xmlns:ns1='http://schemas.openxmlformats.org/package/2006/metadata/core-properties' " w:xpath="/ns1:coreProperties[1]/ns1:contentStatus[1]" w:storeItemID="{6C3C8BC8-F283-45AE-878A-BAB7291924A1}"/>
        <w:text/>
      </w:sdtPr>
      <w:sdtContent>
        <w:r w:rsidR="00917A3D">
          <w:t>Version 1.0</w:t>
        </w:r>
      </w:sdtContent>
    </w:sdt>
    <w:r w:rsidR="00DC0723">
      <w:ptab w:relativeTo="margin" w:alignment="right" w:leader="none"/>
    </w:r>
    <w:r w:rsidR="00DC0723" w:rsidRPr="00C40EAB">
      <w:fldChar w:fldCharType="begin"/>
    </w:r>
    <w:r w:rsidR="00DC0723" w:rsidRPr="00C40EAB">
      <w:instrText xml:space="preserve"> PAGE   \* MERGEFORMAT </w:instrText>
    </w:r>
    <w:r w:rsidR="00DC0723" w:rsidRPr="00C40EAB">
      <w:fldChar w:fldCharType="separate"/>
    </w:r>
    <w:r w:rsidR="00DC0723">
      <w:t>1</w:t>
    </w:r>
    <w:r w:rsidR="00DC0723" w:rsidRPr="00C40E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C081" w14:textId="34EB4322" w:rsidR="00DC0723" w:rsidRDefault="00000000">
    <w:pPr>
      <w:pStyle w:val="Footer"/>
    </w:pPr>
    <w:sdt>
      <w:sdtPr>
        <w:alias w:val="Title"/>
        <w:tag w:val=""/>
        <w:id w:val="1180633637"/>
        <w:dataBinding w:prefixMappings="xmlns:ns0='http://purl.org/dc/elements/1.1/' xmlns:ns1='http://schemas.openxmlformats.org/package/2006/metadata/core-properties' " w:xpath="/ns1:coreProperties[1]/ns0:title[1]" w:storeItemID="{6C3C8BC8-F283-45AE-878A-BAB7291924A1}"/>
        <w:text/>
      </w:sdtPr>
      <w:sdtContent>
        <w:r w:rsidR="00E3784F">
          <w:t>Breach Reporting Procedures</w:t>
        </w:r>
      </w:sdtContent>
    </w:sdt>
    <w:r w:rsidR="00DC0723" w:rsidRPr="00A55490">
      <w:t xml:space="preserve"> </w:t>
    </w:r>
    <w:sdt>
      <w:sdtPr>
        <w:alias w:val="Subject"/>
        <w:tag w:val=""/>
        <w:id w:val="428706018"/>
        <w:dataBinding w:prefixMappings="xmlns:ns0='http://purl.org/dc/elements/1.1/' xmlns:ns1='http://schemas.openxmlformats.org/package/2006/metadata/core-properties' " w:xpath="/ns1:coreProperties[1]/ns0:subject[1]" w:storeItemID="{6C3C8BC8-F283-45AE-878A-BAB7291924A1}"/>
        <w:text/>
      </w:sdtPr>
      <w:sdtContent>
        <w:r w:rsidR="00DC0723" w:rsidRPr="00A55490">
          <w:t>[Licensee | AFSL number]</w:t>
        </w:r>
      </w:sdtContent>
    </w:sdt>
    <w:r w:rsidR="00DC0723" w:rsidRPr="00A55490">
      <w:t xml:space="preserve"> | </w:t>
    </w:r>
    <w:sdt>
      <w:sdtPr>
        <w:alias w:val="Status"/>
        <w:tag w:val=""/>
        <w:id w:val="-207184060"/>
        <w:dataBinding w:prefixMappings="xmlns:ns0='http://purl.org/dc/elements/1.1/' xmlns:ns1='http://schemas.openxmlformats.org/package/2006/metadata/core-properties' " w:xpath="/ns1:coreProperties[1]/ns1:contentStatus[1]" w:storeItemID="{6C3C8BC8-F283-45AE-878A-BAB7291924A1}"/>
        <w:text/>
      </w:sdtPr>
      <w:sdtContent>
        <w:r w:rsidR="00917A3D">
          <w:t>Version 1.0</w:t>
        </w:r>
      </w:sdtContent>
    </w:sdt>
    <w:r w:rsidR="00DC0723">
      <w:ptab w:relativeTo="margin" w:alignment="right" w:leader="none"/>
    </w:r>
    <w:r w:rsidR="00DC0723" w:rsidRPr="00C40EAB">
      <w:fldChar w:fldCharType="begin"/>
    </w:r>
    <w:r w:rsidR="00DC0723" w:rsidRPr="00C40EAB">
      <w:instrText xml:space="preserve"> PAGE   \* MERGEFORMAT </w:instrText>
    </w:r>
    <w:r w:rsidR="00DC0723" w:rsidRPr="00C40EAB">
      <w:fldChar w:fldCharType="separate"/>
    </w:r>
    <w:r w:rsidR="00DC0723" w:rsidRPr="00C40EAB">
      <w:t>1</w:t>
    </w:r>
    <w:r w:rsidR="00DC0723" w:rsidRPr="00C40E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9897" w14:textId="77777777" w:rsidR="00F45413" w:rsidRDefault="00F45413" w:rsidP="008F222C">
      <w:r>
        <w:separator/>
      </w:r>
    </w:p>
  </w:footnote>
  <w:footnote w:type="continuationSeparator" w:id="0">
    <w:p w14:paraId="101ED75B" w14:textId="77777777" w:rsidR="00F45413" w:rsidRDefault="00F45413" w:rsidP="008F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92B98BE" w14:paraId="25F70064" w14:textId="77777777" w:rsidTr="792B98BE">
      <w:trPr>
        <w:trHeight w:val="300"/>
      </w:trPr>
      <w:tc>
        <w:tcPr>
          <w:tcW w:w="3285" w:type="dxa"/>
        </w:tcPr>
        <w:p w14:paraId="5C349144" w14:textId="447CF97B" w:rsidR="792B98BE" w:rsidRDefault="792B98BE" w:rsidP="792B98BE">
          <w:pPr>
            <w:pStyle w:val="Header"/>
            <w:ind w:left="-115"/>
          </w:pPr>
        </w:p>
      </w:tc>
      <w:tc>
        <w:tcPr>
          <w:tcW w:w="3285" w:type="dxa"/>
        </w:tcPr>
        <w:p w14:paraId="60CC47D9" w14:textId="66444D9D" w:rsidR="792B98BE" w:rsidRDefault="792B98BE" w:rsidP="792B98BE">
          <w:pPr>
            <w:pStyle w:val="Header"/>
            <w:jc w:val="center"/>
          </w:pPr>
        </w:p>
      </w:tc>
      <w:tc>
        <w:tcPr>
          <w:tcW w:w="3285" w:type="dxa"/>
        </w:tcPr>
        <w:p w14:paraId="6175CB65" w14:textId="2E91BDF6" w:rsidR="792B98BE" w:rsidRDefault="792B98BE" w:rsidP="792B98BE">
          <w:pPr>
            <w:pStyle w:val="Header"/>
            <w:ind w:right="-115"/>
            <w:jc w:val="right"/>
          </w:pPr>
        </w:p>
      </w:tc>
    </w:tr>
  </w:tbl>
  <w:p w14:paraId="701A6019" w14:textId="10A03365" w:rsidR="792B98BE" w:rsidRDefault="792B98BE" w:rsidP="792B9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92B98BE" w14:paraId="3EE52C44" w14:textId="77777777" w:rsidTr="792B98BE">
      <w:trPr>
        <w:trHeight w:val="300"/>
      </w:trPr>
      <w:tc>
        <w:tcPr>
          <w:tcW w:w="3285" w:type="dxa"/>
        </w:tcPr>
        <w:p w14:paraId="60DA0E8F" w14:textId="0FFEE1A4" w:rsidR="792B98BE" w:rsidRDefault="792B98BE" w:rsidP="792B98BE">
          <w:pPr>
            <w:pStyle w:val="Header"/>
            <w:ind w:left="-115"/>
          </w:pPr>
        </w:p>
      </w:tc>
      <w:tc>
        <w:tcPr>
          <w:tcW w:w="3285" w:type="dxa"/>
        </w:tcPr>
        <w:p w14:paraId="74CEEAFB" w14:textId="4324FF63" w:rsidR="792B98BE" w:rsidRDefault="792B98BE" w:rsidP="792B98BE">
          <w:pPr>
            <w:pStyle w:val="Header"/>
            <w:jc w:val="center"/>
          </w:pPr>
        </w:p>
      </w:tc>
      <w:tc>
        <w:tcPr>
          <w:tcW w:w="3285" w:type="dxa"/>
        </w:tcPr>
        <w:p w14:paraId="62C11AE7" w14:textId="28651132" w:rsidR="792B98BE" w:rsidRDefault="792B98BE" w:rsidP="792B98BE">
          <w:pPr>
            <w:pStyle w:val="Header"/>
            <w:ind w:right="-115"/>
            <w:jc w:val="right"/>
          </w:pPr>
        </w:p>
      </w:tc>
    </w:tr>
  </w:tbl>
  <w:p w14:paraId="3EEA981E" w14:textId="53BED252" w:rsidR="792B98BE" w:rsidRDefault="792B98BE" w:rsidP="792B9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73702AEC"/>
    <w:name w:val="WW8Num25"/>
    <w:lvl w:ilvl="0">
      <w:start w:val="1"/>
      <w:numFmt w:val="bullet"/>
      <w:lvlText w:val=""/>
      <w:lvlJc w:val="left"/>
      <w:pPr>
        <w:tabs>
          <w:tab w:val="num" w:pos="0"/>
        </w:tabs>
        <w:ind w:left="720" w:hanging="360"/>
      </w:pPr>
      <w:rPr>
        <w:rFonts w:ascii="Symbol" w:hAnsi="Symbol"/>
        <w:color w:val="auto"/>
      </w:rPr>
    </w:lvl>
  </w:abstractNum>
  <w:abstractNum w:abstractNumId="1" w15:restartNumberingAfterBreak="0">
    <w:nsid w:val="00000016"/>
    <w:multiLevelType w:val="singleLevel"/>
    <w:tmpl w:val="20E8E08C"/>
    <w:name w:val="WW8Num31"/>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1635BF0"/>
    <w:multiLevelType w:val="hybridMultilevel"/>
    <w:tmpl w:val="E2625BA0"/>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B271A4"/>
    <w:multiLevelType w:val="hybridMultilevel"/>
    <w:tmpl w:val="2B6083D6"/>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044824"/>
    <w:multiLevelType w:val="hybridMultilevel"/>
    <w:tmpl w:val="96E8E6A6"/>
    <w:lvl w:ilvl="0" w:tplc="CA106242">
      <w:start w:val="1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FF5788"/>
    <w:multiLevelType w:val="hybridMultilevel"/>
    <w:tmpl w:val="BE16CBFE"/>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61572B1"/>
    <w:multiLevelType w:val="hybridMultilevel"/>
    <w:tmpl w:val="A59E0968"/>
    <w:lvl w:ilvl="0" w:tplc="AA0E4CF4">
      <w:start w:val="9"/>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7C5127"/>
    <w:multiLevelType w:val="hybridMultilevel"/>
    <w:tmpl w:val="29B0C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B8291C"/>
    <w:multiLevelType w:val="hybridMultilevel"/>
    <w:tmpl w:val="B1E2A07A"/>
    <w:lvl w:ilvl="0" w:tplc="42A899F4">
      <w:start w:val="6"/>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A377F66"/>
    <w:multiLevelType w:val="hybridMultilevel"/>
    <w:tmpl w:val="4A5E48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DE0DCA"/>
    <w:multiLevelType w:val="hybridMultilevel"/>
    <w:tmpl w:val="610C6EE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BC82E9D"/>
    <w:multiLevelType w:val="hybridMultilevel"/>
    <w:tmpl w:val="DABABDC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C2C1CF7"/>
    <w:multiLevelType w:val="hybridMultilevel"/>
    <w:tmpl w:val="D2F22A40"/>
    <w:lvl w:ilvl="0" w:tplc="1DFC9854">
      <w:start w:val="1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A6177A"/>
    <w:multiLevelType w:val="hybridMultilevel"/>
    <w:tmpl w:val="947E166E"/>
    <w:lvl w:ilvl="0" w:tplc="4AD2CF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DB264A"/>
    <w:multiLevelType w:val="hybridMultilevel"/>
    <w:tmpl w:val="20E081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109C6C61"/>
    <w:multiLevelType w:val="hybridMultilevel"/>
    <w:tmpl w:val="279252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C872A0"/>
    <w:multiLevelType w:val="hybridMultilevel"/>
    <w:tmpl w:val="57D05922"/>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3E2EC4"/>
    <w:multiLevelType w:val="hybridMultilevel"/>
    <w:tmpl w:val="C81C985E"/>
    <w:lvl w:ilvl="0" w:tplc="F32EEAFE">
      <w:start w:val="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030653"/>
    <w:multiLevelType w:val="hybridMultilevel"/>
    <w:tmpl w:val="23DAB6CA"/>
    <w:lvl w:ilvl="0" w:tplc="0C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7567899"/>
    <w:multiLevelType w:val="multilevel"/>
    <w:tmpl w:val="9AC04430"/>
    <w:lvl w:ilvl="0">
      <w:start w:val="1"/>
      <w:numFmt w:val="lowerLetter"/>
      <w:pStyle w:val="ListNumber"/>
      <w:lvlText w:val="%1."/>
      <w:lvlJc w:val="left"/>
      <w:pPr>
        <w:ind w:left="227" w:hanging="227"/>
      </w:pPr>
      <w:rPr>
        <w:rFonts w:hint="default"/>
        <w:b w:val="0"/>
        <w:bCs w:val="0"/>
      </w:rPr>
    </w:lvl>
    <w:lvl w:ilvl="1">
      <w:start w:val="1"/>
      <w:numFmt w:val="lowerRoman"/>
      <w:pStyle w:val="ListNumber2"/>
      <w:lvlText w:val="%2"/>
      <w:lvlJc w:val="left"/>
      <w:pPr>
        <w:tabs>
          <w:tab w:val="num" w:pos="227"/>
        </w:tabs>
        <w:ind w:left="454" w:hanging="227"/>
      </w:pPr>
      <w:rPr>
        <w:rFonts w:hint="default"/>
      </w:rPr>
    </w:lvl>
    <w:lvl w:ilvl="2">
      <w:start w:val="1"/>
      <w:numFmt w:val="upperLetter"/>
      <w:pStyle w:val="ListNumber3"/>
      <w:lvlText w:val="%3"/>
      <w:lvlJc w:val="left"/>
      <w:pPr>
        <w:ind w:left="680" w:hanging="226"/>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87B6900"/>
    <w:multiLevelType w:val="hybridMultilevel"/>
    <w:tmpl w:val="0DC8FFE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F609EC"/>
    <w:multiLevelType w:val="hybridMultilevel"/>
    <w:tmpl w:val="7610E96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B9B37B0"/>
    <w:multiLevelType w:val="hybridMultilevel"/>
    <w:tmpl w:val="2A5214F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1F7345B9"/>
    <w:multiLevelType w:val="hybridMultilevel"/>
    <w:tmpl w:val="F74CD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CC4C08"/>
    <w:multiLevelType w:val="hybridMultilevel"/>
    <w:tmpl w:val="576C5A5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2095CD3"/>
    <w:multiLevelType w:val="hybridMultilevel"/>
    <w:tmpl w:val="345E4AF2"/>
    <w:lvl w:ilvl="0" w:tplc="29DAF1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2CD5AC3"/>
    <w:multiLevelType w:val="hybridMultilevel"/>
    <w:tmpl w:val="C046D1A8"/>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2F307B6"/>
    <w:multiLevelType w:val="hybridMultilevel"/>
    <w:tmpl w:val="6368EC2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5038D5"/>
    <w:multiLevelType w:val="multilevel"/>
    <w:tmpl w:val="9B1AC364"/>
    <w:lvl w:ilvl="0">
      <w:start w:val="1"/>
      <w:numFmt w:val="bullet"/>
      <w:pStyle w:val="ListBullet"/>
      <w:lvlText w:val=""/>
      <w:lvlJc w:val="left"/>
      <w:pPr>
        <w:ind w:left="227" w:hanging="227"/>
      </w:pPr>
      <w:rPr>
        <w:rFonts w:ascii="Symbol" w:hAnsi="Symbol" w:hint="default"/>
      </w:rPr>
    </w:lvl>
    <w:lvl w:ilvl="1">
      <w:start w:val="1"/>
      <w:numFmt w:val="bullet"/>
      <w:pStyle w:val="ListBullet2"/>
      <w:lvlText w:val="–"/>
      <w:lvlJc w:val="left"/>
      <w:pPr>
        <w:ind w:left="454" w:hanging="227"/>
      </w:pPr>
      <w:rPr>
        <w:rFonts w:ascii="Arial" w:hAnsi="Arial" w:hint="default"/>
      </w:rPr>
    </w:lvl>
    <w:lvl w:ilvl="2">
      <w:start w:val="1"/>
      <w:numFmt w:val="bullet"/>
      <w:pStyle w:val="ListBullet3"/>
      <w:lvlText w:val="–"/>
      <w:lvlJc w:val="left"/>
      <w:pPr>
        <w:ind w:left="680" w:hanging="226"/>
      </w:pPr>
      <w:rPr>
        <w:rFonts w:ascii="Arial" w:hAnsi="Arial"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26A24712"/>
    <w:multiLevelType w:val="multilevel"/>
    <w:tmpl w:val="A51222A2"/>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b/>
        <w:bCs w:val="0"/>
      </w:rPr>
    </w:lvl>
    <w:lvl w:ilvl="2">
      <w:start w:val="1"/>
      <w:numFmt w:val="decimal"/>
      <w:pStyle w:val="Heading3"/>
      <w:lvlText w:val="%1.%2.%3"/>
      <w:lvlJc w:val="left"/>
      <w:pPr>
        <w:ind w:left="851" w:hanging="851"/>
      </w:pPr>
    </w:lvl>
    <w:lvl w:ilvl="3">
      <w:start w:val="1"/>
      <w:numFmt w:val="lowerLetter"/>
      <w:pStyle w:val="Subpara1"/>
      <w:lvlText w:val="(%4)"/>
      <w:lvlJc w:val="left"/>
      <w:pPr>
        <w:ind w:left="1418" w:hanging="567"/>
      </w:pPr>
      <w:rPr>
        <w:rFonts w:hint="default"/>
      </w:rPr>
    </w:lvl>
    <w:lvl w:ilvl="4">
      <w:start w:val="1"/>
      <w:numFmt w:val="none"/>
      <w:pStyle w:val="Indent"/>
      <w:suff w:val="nothing"/>
      <w:lvlText w:val=""/>
      <w:lvlJc w:val="left"/>
      <w:pPr>
        <w:ind w:left="0" w:firstLine="1418"/>
      </w:pPr>
      <w:rPr>
        <w:rFonts w:hint="default"/>
      </w:rPr>
    </w:lvl>
    <w:lvl w:ilvl="5">
      <w:start w:val="1"/>
      <w:numFmt w:val="lowerRoman"/>
      <w:pStyle w:val="Subpara2"/>
      <w:lvlText w:val="(%6)"/>
      <w:lvlJc w:val="left"/>
      <w:pPr>
        <w:tabs>
          <w:tab w:val="num" w:pos="1418"/>
        </w:tabs>
        <w:ind w:left="1985" w:hanging="567"/>
      </w:pPr>
      <w:rPr>
        <w:rFonts w:hint="default"/>
      </w:rPr>
    </w:lvl>
    <w:lvl w:ilvl="6">
      <w:start w:val="1"/>
      <w:numFmt w:val="none"/>
      <w:pStyle w:val="Indent2"/>
      <w:suff w:val="nothing"/>
      <w:lvlText w:val=""/>
      <w:lvlJc w:val="left"/>
      <w:pPr>
        <w:ind w:left="0" w:firstLine="1985"/>
      </w:pPr>
      <w:rPr>
        <w:rFonts w:hint="default"/>
      </w:rPr>
    </w:lvl>
    <w:lvl w:ilvl="7">
      <w:start w:val="1"/>
      <w:numFmt w:val="upperLetter"/>
      <w:pStyle w:val="Subpara3"/>
      <w:lvlText w:val="(%8)"/>
      <w:lvlJc w:val="left"/>
      <w:pPr>
        <w:tabs>
          <w:tab w:val="num" w:pos="1985"/>
        </w:tabs>
        <w:ind w:left="2552" w:hanging="567"/>
      </w:pPr>
      <w:rPr>
        <w:rFonts w:hint="default"/>
      </w:rPr>
    </w:lvl>
    <w:lvl w:ilvl="8">
      <w:start w:val="1"/>
      <w:numFmt w:val="none"/>
      <w:pStyle w:val="Indent3"/>
      <w:suff w:val="nothing"/>
      <w:lvlText w:val=""/>
      <w:lvlJc w:val="left"/>
      <w:pPr>
        <w:ind w:left="0" w:firstLine="2552"/>
      </w:pPr>
      <w:rPr>
        <w:rFonts w:hint="default"/>
      </w:rPr>
    </w:lvl>
  </w:abstractNum>
  <w:abstractNum w:abstractNumId="30" w15:restartNumberingAfterBreak="0">
    <w:nsid w:val="2DA84BBF"/>
    <w:multiLevelType w:val="hybridMultilevel"/>
    <w:tmpl w:val="CCF20A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28D79E7"/>
    <w:multiLevelType w:val="hybridMultilevel"/>
    <w:tmpl w:val="EAD0C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7208A4"/>
    <w:multiLevelType w:val="multilevel"/>
    <w:tmpl w:val="7B9468AC"/>
    <w:lvl w:ilvl="0">
      <w:start w:val="1"/>
      <w:numFmt w:val="decimal"/>
      <w:lvlText w:val="%1."/>
      <w:lvlJc w:val="left"/>
      <w:pPr>
        <w:ind w:left="501" w:hanging="360"/>
      </w:pPr>
      <w:rPr>
        <w:rFonts w:hint="default"/>
      </w:rPr>
    </w:lvl>
    <w:lvl w:ilvl="1">
      <w:start w:val="2"/>
      <w:numFmt w:val="decimal"/>
      <w:isLgl/>
      <w:lvlText w:val="%1.%2."/>
      <w:lvlJc w:val="left"/>
      <w:pPr>
        <w:ind w:left="531" w:hanging="39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3" w15:restartNumberingAfterBreak="0">
    <w:nsid w:val="35B5184D"/>
    <w:multiLevelType w:val="hybridMultilevel"/>
    <w:tmpl w:val="345E4A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678631A"/>
    <w:multiLevelType w:val="hybridMultilevel"/>
    <w:tmpl w:val="E9782386"/>
    <w:lvl w:ilvl="0" w:tplc="FB3607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B1B2AF8"/>
    <w:multiLevelType w:val="hybridMultilevel"/>
    <w:tmpl w:val="648A6662"/>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CAA0149"/>
    <w:multiLevelType w:val="multilevel"/>
    <w:tmpl w:val="CFE63616"/>
    <w:lvl w:ilvl="0">
      <w:start w:val="1"/>
      <w:numFmt w:val="none"/>
      <w:pStyle w:val="Tablenotesorsource"/>
      <w:suff w:val="nothing"/>
      <w:lvlText w:val="%1"/>
      <w:lvlJc w:val="left"/>
      <w:pPr>
        <w:ind w:left="0" w:firstLine="0"/>
      </w:pPr>
      <w:rPr>
        <w:rFonts w:hint="default"/>
      </w:rPr>
    </w:lvl>
    <w:lvl w:ilvl="1">
      <w:start w:val="1"/>
      <w:numFmt w:val="decimal"/>
      <w:pStyle w:val="Tablenotenumbers"/>
      <w:lvlText w:val="%2."/>
      <w:lvlJc w:val="left"/>
      <w:pPr>
        <w:ind w:left="357" w:hanging="35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0F82E92"/>
    <w:multiLevelType w:val="hybridMultilevel"/>
    <w:tmpl w:val="BA5614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1B90E61"/>
    <w:multiLevelType w:val="hybridMultilevel"/>
    <w:tmpl w:val="82BE3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535329E"/>
    <w:multiLevelType w:val="hybridMultilevel"/>
    <w:tmpl w:val="2640AD8C"/>
    <w:lvl w:ilvl="0" w:tplc="95F687D6">
      <w:start w:val="14"/>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9D525CA"/>
    <w:multiLevelType w:val="hybridMultilevel"/>
    <w:tmpl w:val="DA00D0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4A310AF8"/>
    <w:multiLevelType w:val="hybridMultilevel"/>
    <w:tmpl w:val="F648E658"/>
    <w:lvl w:ilvl="0" w:tplc="A7E6C54C">
      <w:start w:val="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C6B5D32"/>
    <w:multiLevelType w:val="hybridMultilevel"/>
    <w:tmpl w:val="FB48B1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84B79F7"/>
    <w:multiLevelType w:val="hybridMultilevel"/>
    <w:tmpl w:val="9606130A"/>
    <w:lvl w:ilvl="0" w:tplc="0C090015">
      <w:start w:val="1"/>
      <w:numFmt w:val="upp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8684A38"/>
    <w:multiLevelType w:val="hybridMultilevel"/>
    <w:tmpl w:val="0D1C29A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E3E3822"/>
    <w:multiLevelType w:val="hybridMultilevel"/>
    <w:tmpl w:val="274275EE"/>
    <w:lvl w:ilvl="0" w:tplc="8D7AE58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C569EE"/>
    <w:multiLevelType w:val="hybridMultilevel"/>
    <w:tmpl w:val="2A80F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272892"/>
    <w:multiLevelType w:val="hybridMultilevel"/>
    <w:tmpl w:val="28CA1A7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60E6191C"/>
    <w:multiLevelType w:val="hybridMultilevel"/>
    <w:tmpl w:val="04940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5552D43"/>
    <w:multiLevelType w:val="hybridMultilevel"/>
    <w:tmpl w:val="57165ED2"/>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57C1441"/>
    <w:multiLevelType w:val="hybridMultilevel"/>
    <w:tmpl w:val="CB6A1E9A"/>
    <w:lvl w:ilvl="0" w:tplc="12B86E94">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5BE01F6"/>
    <w:multiLevelType w:val="hybridMultilevel"/>
    <w:tmpl w:val="9B9AE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E80706"/>
    <w:multiLevelType w:val="hybridMultilevel"/>
    <w:tmpl w:val="3EE09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DF816DE"/>
    <w:multiLevelType w:val="hybridMultilevel"/>
    <w:tmpl w:val="D6366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CD7F63"/>
    <w:multiLevelType w:val="hybridMultilevel"/>
    <w:tmpl w:val="4104BA44"/>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F2F363C"/>
    <w:multiLevelType w:val="hybridMultilevel"/>
    <w:tmpl w:val="BD96A40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15:restartNumberingAfterBreak="0">
    <w:nsid w:val="6FFE35FF"/>
    <w:multiLevelType w:val="hybridMultilevel"/>
    <w:tmpl w:val="A976BC58"/>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0900F2F"/>
    <w:multiLevelType w:val="hybridMultilevel"/>
    <w:tmpl w:val="158A9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0A544F8"/>
    <w:multiLevelType w:val="multilevel"/>
    <w:tmpl w:val="6352A58E"/>
    <w:lvl w:ilvl="0">
      <w:start w:val="1"/>
      <w:numFmt w:val="upperLetter"/>
      <w:pStyle w:val="AppendixHeading1"/>
      <w:lvlText w:val="%1."/>
      <w:lvlJc w:val="left"/>
      <w:pPr>
        <w:ind w:left="6379" w:hanging="851"/>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lowerLetter"/>
      <w:pStyle w:val="AppendixPara1"/>
      <w:lvlText w:val="(%4)"/>
      <w:lvlJc w:val="left"/>
      <w:pPr>
        <w:tabs>
          <w:tab w:val="num" w:pos="851"/>
        </w:tabs>
        <w:ind w:left="1418" w:hanging="567"/>
      </w:pPr>
      <w:rPr>
        <w:rFonts w:hint="default"/>
      </w:rPr>
    </w:lvl>
    <w:lvl w:ilvl="4">
      <w:start w:val="1"/>
      <w:numFmt w:val="none"/>
      <w:pStyle w:val="AppendixIndent"/>
      <w:suff w:val="nothing"/>
      <w:lvlText w:val=""/>
      <w:lvlJc w:val="left"/>
      <w:pPr>
        <w:ind w:left="0" w:firstLine="1418"/>
      </w:pPr>
      <w:rPr>
        <w:rFonts w:hint="default"/>
      </w:rPr>
    </w:lvl>
    <w:lvl w:ilvl="5">
      <w:start w:val="1"/>
      <w:numFmt w:val="lowerRoman"/>
      <w:pStyle w:val="AppendixPara2"/>
      <w:lvlText w:val="(%6)"/>
      <w:lvlJc w:val="left"/>
      <w:pPr>
        <w:tabs>
          <w:tab w:val="num" w:pos="1418"/>
        </w:tabs>
        <w:ind w:left="1985" w:hanging="567"/>
      </w:pPr>
      <w:rPr>
        <w:rFonts w:hint="default"/>
      </w:rPr>
    </w:lvl>
    <w:lvl w:ilvl="6">
      <w:start w:val="1"/>
      <w:numFmt w:val="none"/>
      <w:pStyle w:val="AppendixIndent2"/>
      <w:suff w:val="nothing"/>
      <w:lvlText w:val=""/>
      <w:lvlJc w:val="left"/>
      <w:pPr>
        <w:ind w:left="0" w:firstLine="1985"/>
      </w:pPr>
      <w:rPr>
        <w:rFonts w:hint="default"/>
      </w:rPr>
    </w:lvl>
    <w:lvl w:ilvl="7">
      <w:start w:val="1"/>
      <w:numFmt w:val="upperLetter"/>
      <w:pStyle w:val="AppendixPara3"/>
      <w:lvlText w:val="(%8)"/>
      <w:lvlJc w:val="left"/>
      <w:pPr>
        <w:tabs>
          <w:tab w:val="num" w:pos="1985"/>
        </w:tabs>
        <w:ind w:left="2552" w:hanging="567"/>
      </w:pPr>
      <w:rPr>
        <w:rFonts w:hint="default"/>
      </w:rPr>
    </w:lvl>
    <w:lvl w:ilvl="8">
      <w:start w:val="1"/>
      <w:numFmt w:val="none"/>
      <w:pStyle w:val="AppendixIndent3"/>
      <w:suff w:val="nothing"/>
      <w:lvlText w:val=""/>
      <w:lvlJc w:val="left"/>
      <w:pPr>
        <w:ind w:left="0" w:firstLine="2552"/>
      </w:pPr>
      <w:rPr>
        <w:rFonts w:hint="default"/>
      </w:rPr>
    </w:lvl>
  </w:abstractNum>
  <w:abstractNum w:abstractNumId="59" w15:restartNumberingAfterBreak="0">
    <w:nsid w:val="73FC6527"/>
    <w:multiLevelType w:val="hybridMultilevel"/>
    <w:tmpl w:val="61241910"/>
    <w:lvl w:ilvl="0" w:tplc="1D8266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9DE7C69"/>
    <w:multiLevelType w:val="hybridMultilevel"/>
    <w:tmpl w:val="1744ED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1" w15:restartNumberingAfterBreak="0">
    <w:nsid w:val="7BFC433B"/>
    <w:multiLevelType w:val="hybridMultilevel"/>
    <w:tmpl w:val="9788B712"/>
    <w:lvl w:ilvl="0" w:tplc="EA229F4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FB35C54"/>
    <w:multiLevelType w:val="hybridMultilevel"/>
    <w:tmpl w:val="AFD2B780"/>
    <w:lvl w:ilvl="0" w:tplc="4620CEA4">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8264087">
    <w:abstractNumId w:val="28"/>
  </w:num>
  <w:num w:numId="2" w16cid:durableId="1041788675">
    <w:abstractNumId w:val="58"/>
  </w:num>
  <w:num w:numId="3" w16cid:durableId="1425299957">
    <w:abstractNumId w:val="36"/>
  </w:num>
  <w:num w:numId="4" w16cid:durableId="2088576516">
    <w:abstractNumId w:val="19"/>
  </w:num>
  <w:num w:numId="5" w16cid:durableId="776288460">
    <w:abstractNumId w:val="29"/>
  </w:num>
  <w:num w:numId="6" w16cid:durableId="1375500191">
    <w:abstractNumId w:val="45"/>
  </w:num>
  <w:num w:numId="7" w16cid:durableId="577712601">
    <w:abstractNumId w:val="31"/>
  </w:num>
  <w:num w:numId="8" w16cid:durableId="45111124">
    <w:abstractNumId w:val="57"/>
  </w:num>
  <w:num w:numId="9" w16cid:durableId="246036546">
    <w:abstractNumId w:val="53"/>
  </w:num>
  <w:num w:numId="10" w16cid:durableId="1685475470">
    <w:abstractNumId w:val="23"/>
  </w:num>
  <w:num w:numId="11" w16cid:durableId="1781293605">
    <w:abstractNumId w:val="55"/>
  </w:num>
  <w:num w:numId="12" w16cid:durableId="1810434557">
    <w:abstractNumId w:val="48"/>
  </w:num>
  <w:num w:numId="13" w16cid:durableId="2062703292">
    <w:abstractNumId w:val="22"/>
  </w:num>
  <w:num w:numId="14" w16cid:durableId="1236667241">
    <w:abstractNumId w:val="61"/>
  </w:num>
  <w:num w:numId="15" w16cid:durableId="1341271599">
    <w:abstractNumId w:val="52"/>
  </w:num>
  <w:num w:numId="16" w16cid:durableId="1147280704">
    <w:abstractNumId w:val="46"/>
  </w:num>
  <w:num w:numId="17" w16cid:durableId="1730761460">
    <w:abstractNumId w:val="25"/>
  </w:num>
  <w:num w:numId="18" w16cid:durableId="1228876449">
    <w:abstractNumId w:val="13"/>
  </w:num>
  <w:num w:numId="19" w16cid:durableId="126359082">
    <w:abstractNumId w:val="59"/>
  </w:num>
  <w:num w:numId="20" w16cid:durableId="1426072572">
    <w:abstractNumId w:val="21"/>
  </w:num>
  <w:num w:numId="21" w16cid:durableId="2050448362">
    <w:abstractNumId w:val="51"/>
  </w:num>
  <w:num w:numId="22" w16cid:durableId="1076587023">
    <w:abstractNumId w:val="32"/>
  </w:num>
  <w:num w:numId="23" w16cid:durableId="812018188">
    <w:abstractNumId w:val="16"/>
  </w:num>
  <w:num w:numId="24" w16cid:durableId="2027559210">
    <w:abstractNumId w:val="3"/>
  </w:num>
  <w:num w:numId="25" w16cid:durableId="1590847799">
    <w:abstractNumId w:val="54"/>
  </w:num>
  <w:num w:numId="26" w16cid:durableId="863253575">
    <w:abstractNumId w:val="56"/>
  </w:num>
  <w:num w:numId="27" w16cid:durableId="979265293">
    <w:abstractNumId w:val="43"/>
  </w:num>
  <w:num w:numId="28" w16cid:durableId="791090935">
    <w:abstractNumId w:val="49"/>
  </w:num>
  <w:num w:numId="29" w16cid:durableId="1178887395">
    <w:abstractNumId w:val="2"/>
  </w:num>
  <w:num w:numId="30" w16cid:durableId="1958484265">
    <w:abstractNumId w:val="34"/>
  </w:num>
  <w:num w:numId="31" w16cid:durableId="1790051007">
    <w:abstractNumId w:val="33"/>
  </w:num>
  <w:num w:numId="32" w16cid:durableId="1458255052">
    <w:abstractNumId w:val="30"/>
  </w:num>
  <w:num w:numId="33" w16cid:durableId="894589849">
    <w:abstractNumId w:val="20"/>
  </w:num>
  <w:num w:numId="34" w16cid:durableId="166134523">
    <w:abstractNumId w:val="42"/>
  </w:num>
  <w:num w:numId="35" w16cid:durableId="1016536259">
    <w:abstractNumId w:val="9"/>
  </w:num>
  <w:num w:numId="36" w16cid:durableId="1838301350">
    <w:abstractNumId w:val="11"/>
  </w:num>
  <w:num w:numId="37" w16cid:durableId="1422870796">
    <w:abstractNumId w:val="7"/>
  </w:num>
  <w:num w:numId="38" w16cid:durableId="182519962">
    <w:abstractNumId w:val="27"/>
  </w:num>
  <w:num w:numId="39" w16cid:durableId="504713937">
    <w:abstractNumId w:val="15"/>
  </w:num>
  <w:num w:numId="40" w16cid:durableId="499194766">
    <w:abstractNumId w:val="47"/>
  </w:num>
  <w:num w:numId="41" w16cid:durableId="981077330">
    <w:abstractNumId w:val="37"/>
  </w:num>
  <w:num w:numId="42" w16cid:durableId="522330469">
    <w:abstractNumId w:val="14"/>
  </w:num>
  <w:num w:numId="43" w16cid:durableId="1853451514">
    <w:abstractNumId w:val="60"/>
  </w:num>
  <w:num w:numId="44" w16cid:durableId="1722512048">
    <w:abstractNumId w:val="40"/>
  </w:num>
  <w:num w:numId="45" w16cid:durableId="1509098739">
    <w:abstractNumId w:val="18"/>
  </w:num>
  <w:num w:numId="46" w16cid:durableId="1403597612">
    <w:abstractNumId w:val="50"/>
  </w:num>
  <w:num w:numId="47" w16cid:durableId="207762912">
    <w:abstractNumId w:val="62"/>
  </w:num>
  <w:num w:numId="48" w16cid:durableId="595292170">
    <w:abstractNumId w:val="12"/>
  </w:num>
  <w:num w:numId="49" w16cid:durableId="1463689167">
    <w:abstractNumId w:val="17"/>
  </w:num>
  <w:num w:numId="50" w16cid:durableId="886142868">
    <w:abstractNumId w:val="41"/>
  </w:num>
  <w:num w:numId="51" w16cid:durableId="119229144">
    <w:abstractNumId w:val="4"/>
  </w:num>
  <w:num w:numId="52" w16cid:durableId="1599437397">
    <w:abstractNumId w:val="44"/>
  </w:num>
  <w:num w:numId="53" w16cid:durableId="1341465835">
    <w:abstractNumId w:val="8"/>
  </w:num>
  <w:num w:numId="54" w16cid:durableId="1042251000">
    <w:abstractNumId w:val="6"/>
  </w:num>
  <w:num w:numId="55" w16cid:durableId="174612292">
    <w:abstractNumId w:val="10"/>
  </w:num>
  <w:num w:numId="56" w16cid:durableId="1483539297">
    <w:abstractNumId w:val="39"/>
  </w:num>
  <w:num w:numId="57" w16cid:durableId="911739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9001427">
    <w:abstractNumId w:val="26"/>
  </w:num>
  <w:num w:numId="59" w16cid:durableId="865872969">
    <w:abstractNumId w:val="35"/>
  </w:num>
  <w:num w:numId="60" w16cid:durableId="313800781">
    <w:abstractNumId w:val="24"/>
  </w:num>
  <w:num w:numId="61" w16cid:durableId="1349483679">
    <w:abstractNumId w:val="38"/>
  </w:num>
  <w:num w:numId="62" w16cid:durableId="17305660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60475595">
    <w:abstractNumId w:val="5"/>
  </w:num>
  <w:num w:numId="64" w16cid:durableId="1426234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65064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C8"/>
    <w:rsid w:val="00000ABA"/>
    <w:rsid w:val="0000342D"/>
    <w:rsid w:val="00004799"/>
    <w:rsid w:val="000056F8"/>
    <w:rsid w:val="00006E52"/>
    <w:rsid w:val="00006F87"/>
    <w:rsid w:val="0000793F"/>
    <w:rsid w:val="000101FA"/>
    <w:rsid w:val="00010368"/>
    <w:rsid w:val="00010BDD"/>
    <w:rsid w:val="00011170"/>
    <w:rsid w:val="000113CE"/>
    <w:rsid w:val="000114BF"/>
    <w:rsid w:val="00011962"/>
    <w:rsid w:val="00011CA4"/>
    <w:rsid w:val="00012144"/>
    <w:rsid w:val="0001352A"/>
    <w:rsid w:val="00013737"/>
    <w:rsid w:val="00013C4D"/>
    <w:rsid w:val="00014684"/>
    <w:rsid w:val="000153D3"/>
    <w:rsid w:val="0001682D"/>
    <w:rsid w:val="00016D75"/>
    <w:rsid w:val="00017C61"/>
    <w:rsid w:val="000200D1"/>
    <w:rsid w:val="0002099C"/>
    <w:rsid w:val="0002139E"/>
    <w:rsid w:val="000217D3"/>
    <w:rsid w:val="00021963"/>
    <w:rsid w:val="00021F1B"/>
    <w:rsid w:val="0002215F"/>
    <w:rsid w:val="0002225B"/>
    <w:rsid w:val="00022A33"/>
    <w:rsid w:val="00022F4B"/>
    <w:rsid w:val="00023E04"/>
    <w:rsid w:val="00025239"/>
    <w:rsid w:val="00025F34"/>
    <w:rsid w:val="0002719F"/>
    <w:rsid w:val="00027A82"/>
    <w:rsid w:val="0003032B"/>
    <w:rsid w:val="000309F1"/>
    <w:rsid w:val="00030C7A"/>
    <w:rsid w:val="00031204"/>
    <w:rsid w:val="000316DF"/>
    <w:rsid w:val="00031733"/>
    <w:rsid w:val="000317E0"/>
    <w:rsid w:val="00031865"/>
    <w:rsid w:val="00033417"/>
    <w:rsid w:val="000342AE"/>
    <w:rsid w:val="000343B5"/>
    <w:rsid w:val="00035361"/>
    <w:rsid w:val="000359EE"/>
    <w:rsid w:val="00036C3D"/>
    <w:rsid w:val="0003787E"/>
    <w:rsid w:val="00037A91"/>
    <w:rsid w:val="0004044B"/>
    <w:rsid w:val="00040F6C"/>
    <w:rsid w:val="000410C0"/>
    <w:rsid w:val="000447EB"/>
    <w:rsid w:val="00045AC0"/>
    <w:rsid w:val="00046446"/>
    <w:rsid w:val="00046AB3"/>
    <w:rsid w:val="00046B0A"/>
    <w:rsid w:val="00046BAB"/>
    <w:rsid w:val="00047997"/>
    <w:rsid w:val="00050242"/>
    <w:rsid w:val="00050C38"/>
    <w:rsid w:val="0005135D"/>
    <w:rsid w:val="00051C6C"/>
    <w:rsid w:val="00052761"/>
    <w:rsid w:val="00052EC5"/>
    <w:rsid w:val="0005310B"/>
    <w:rsid w:val="000535E6"/>
    <w:rsid w:val="00053641"/>
    <w:rsid w:val="00053AC1"/>
    <w:rsid w:val="00053AF0"/>
    <w:rsid w:val="00054125"/>
    <w:rsid w:val="00055764"/>
    <w:rsid w:val="00056C8C"/>
    <w:rsid w:val="000608A8"/>
    <w:rsid w:val="00060D6A"/>
    <w:rsid w:val="00061B09"/>
    <w:rsid w:val="000621F5"/>
    <w:rsid w:val="00062E73"/>
    <w:rsid w:val="0006329A"/>
    <w:rsid w:val="00063E84"/>
    <w:rsid w:val="000640C2"/>
    <w:rsid w:val="0006429B"/>
    <w:rsid w:val="0006431F"/>
    <w:rsid w:val="00064C3A"/>
    <w:rsid w:val="00065179"/>
    <w:rsid w:val="00065249"/>
    <w:rsid w:val="000652CC"/>
    <w:rsid w:val="000653A2"/>
    <w:rsid w:val="00066777"/>
    <w:rsid w:val="000676AF"/>
    <w:rsid w:val="0007066F"/>
    <w:rsid w:val="000708C5"/>
    <w:rsid w:val="00071E52"/>
    <w:rsid w:val="0007268B"/>
    <w:rsid w:val="00072A17"/>
    <w:rsid w:val="00073905"/>
    <w:rsid w:val="00074ABB"/>
    <w:rsid w:val="00075BDF"/>
    <w:rsid w:val="00075F58"/>
    <w:rsid w:val="00076316"/>
    <w:rsid w:val="000769A7"/>
    <w:rsid w:val="0007756E"/>
    <w:rsid w:val="000775A5"/>
    <w:rsid w:val="0008104C"/>
    <w:rsid w:val="000818D3"/>
    <w:rsid w:val="00081CE4"/>
    <w:rsid w:val="00081D50"/>
    <w:rsid w:val="0008337E"/>
    <w:rsid w:val="000864EE"/>
    <w:rsid w:val="000869AB"/>
    <w:rsid w:val="00087F7A"/>
    <w:rsid w:val="00090BFA"/>
    <w:rsid w:val="00090D98"/>
    <w:rsid w:val="0009222C"/>
    <w:rsid w:val="000940A7"/>
    <w:rsid w:val="00094566"/>
    <w:rsid w:val="000948C8"/>
    <w:rsid w:val="00094D28"/>
    <w:rsid w:val="00095122"/>
    <w:rsid w:val="00095DD7"/>
    <w:rsid w:val="0009619A"/>
    <w:rsid w:val="00096A1D"/>
    <w:rsid w:val="00096E9A"/>
    <w:rsid w:val="000975D9"/>
    <w:rsid w:val="00097E4C"/>
    <w:rsid w:val="000A0160"/>
    <w:rsid w:val="000A021D"/>
    <w:rsid w:val="000A08EC"/>
    <w:rsid w:val="000A1A31"/>
    <w:rsid w:val="000A2704"/>
    <w:rsid w:val="000A2C25"/>
    <w:rsid w:val="000A38EF"/>
    <w:rsid w:val="000A4082"/>
    <w:rsid w:val="000A47CE"/>
    <w:rsid w:val="000A508F"/>
    <w:rsid w:val="000A5FC3"/>
    <w:rsid w:val="000A6CC7"/>
    <w:rsid w:val="000A6F26"/>
    <w:rsid w:val="000A7827"/>
    <w:rsid w:val="000B19FC"/>
    <w:rsid w:val="000B456A"/>
    <w:rsid w:val="000B484E"/>
    <w:rsid w:val="000B4D21"/>
    <w:rsid w:val="000B59D2"/>
    <w:rsid w:val="000B5A38"/>
    <w:rsid w:val="000B5F7D"/>
    <w:rsid w:val="000B61A2"/>
    <w:rsid w:val="000B678A"/>
    <w:rsid w:val="000B6ADD"/>
    <w:rsid w:val="000B79F5"/>
    <w:rsid w:val="000C04DC"/>
    <w:rsid w:val="000C0CFA"/>
    <w:rsid w:val="000C1A78"/>
    <w:rsid w:val="000C1D52"/>
    <w:rsid w:val="000C25FC"/>
    <w:rsid w:val="000C2C52"/>
    <w:rsid w:val="000C2EB7"/>
    <w:rsid w:val="000C7077"/>
    <w:rsid w:val="000C7C11"/>
    <w:rsid w:val="000C7D71"/>
    <w:rsid w:val="000D0155"/>
    <w:rsid w:val="000D0AE9"/>
    <w:rsid w:val="000D10C4"/>
    <w:rsid w:val="000D1A37"/>
    <w:rsid w:val="000D3195"/>
    <w:rsid w:val="000D37E1"/>
    <w:rsid w:val="000D4A7A"/>
    <w:rsid w:val="000D4E3E"/>
    <w:rsid w:val="000D4F63"/>
    <w:rsid w:val="000D6691"/>
    <w:rsid w:val="000D699C"/>
    <w:rsid w:val="000D73F0"/>
    <w:rsid w:val="000D7492"/>
    <w:rsid w:val="000D74FB"/>
    <w:rsid w:val="000E1771"/>
    <w:rsid w:val="000E1E47"/>
    <w:rsid w:val="000E21A1"/>
    <w:rsid w:val="000E238C"/>
    <w:rsid w:val="000E33BB"/>
    <w:rsid w:val="000E4ADA"/>
    <w:rsid w:val="000E60A3"/>
    <w:rsid w:val="000E6C62"/>
    <w:rsid w:val="000E7AF7"/>
    <w:rsid w:val="000E7E49"/>
    <w:rsid w:val="000F14D5"/>
    <w:rsid w:val="000F1A5A"/>
    <w:rsid w:val="000F1FA5"/>
    <w:rsid w:val="000F36A6"/>
    <w:rsid w:val="000F3943"/>
    <w:rsid w:val="000F3AA4"/>
    <w:rsid w:val="000F3C3E"/>
    <w:rsid w:val="000F4526"/>
    <w:rsid w:val="000F4ECF"/>
    <w:rsid w:val="000F5B36"/>
    <w:rsid w:val="000F666E"/>
    <w:rsid w:val="000F75AC"/>
    <w:rsid w:val="001006FF"/>
    <w:rsid w:val="00100E4D"/>
    <w:rsid w:val="00101D8B"/>
    <w:rsid w:val="001029E9"/>
    <w:rsid w:val="001038A5"/>
    <w:rsid w:val="001057ED"/>
    <w:rsid w:val="001068C0"/>
    <w:rsid w:val="00106E5C"/>
    <w:rsid w:val="001077ED"/>
    <w:rsid w:val="00107A03"/>
    <w:rsid w:val="00113DF5"/>
    <w:rsid w:val="00114D2E"/>
    <w:rsid w:val="00115384"/>
    <w:rsid w:val="001155E7"/>
    <w:rsid w:val="00115679"/>
    <w:rsid w:val="00116DE9"/>
    <w:rsid w:val="00117118"/>
    <w:rsid w:val="00117240"/>
    <w:rsid w:val="00120547"/>
    <w:rsid w:val="00121F25"/>
    <w:rsid w:val="00123A6B"/>
    <w:rsid w:val="00126822"/>
    <w:rsid w:val="0012722E"/>
    <w:rsid w:val="00127B18"/>
    <w:rsid w:val="00127BB4"/>
    <w:rsid w:val="00127F1F"/>
    <w:rsid w:val="00127F4A"/>
    <w:rsid w:val="00130C3F"/>
    <w:rsid w:val="00130CCA"/>
    <w:rsid w:val="00131338"/>
    <w:rsid w:val="00131464"/>
    <w:rsid w:val="001319A1"/>
    <w:rsid w:val="00132503"/>
    <w:rsid w:val="00132967"/>
    <w:rsid w:val="00133189"/>
    <w:rsid w:val="00135F69"/>
    <w:rsid w:val="00136106"/>
    <w:rsid w:val="00136336"/>
    <w:rsid w:val="001403F3"/>
    <w:rsid w:val="00140919"/>
    <w:rsid w:val="00141446"/>
    <w:rsid w:val="0014244E"/>
    <w:rsid w:val="00143F4A"/>
    <w:rsid w:val="0014447A"/>
    <w:rsid w:val="00145035"/>
    <w:rsid w:val="001451FF"/>
    <w:rsid w:val="0014562A"/>
    <w:rsid w:val="00147463"/>
    <w:rsid w:val="001477DB"/>
    <w:rsid w:val="001502CF"/>
    <w:rsid w:val="00151512"/>
    <w:rsid w:val="00152142"/>
    <w:rsid w:val="001524E8"/>
    <w:rsid w:val="00152865"/>
    <w:rsid w:val="00152C38"/>
    <w:rsid w:val="00153326"/>
    <w:rsid w:val="0015343D"/>
    <w:rsid w:val="001558E0"/>
    <w:rsid w:val="00155E5B"/>
    <w:rsid w:val="00156134"/>
    <w:rsid w:val="001562C5"/>
    <w:rsid w:val="00156327"/>
    <w:rsid w:val="00157A6B"/>
    <w:rsid w:val="00160DBF"/>
    <w:rsid w:val="0016102C"/>
    <w:rsid w:val="001633C0"/>
    <w:rsid w:val="001637B7"/>
    <w:rsid w:val="0016391B"/>
    <w:rsid w:val="00164AD9"/>
    <w:rsid w:val="001659E2"/>
    <w:rsid w:val="00165B03"/>
    <w:rsid w:val="00166D38"/>
    <w:rsid w:val="0016759B"/>
    <w:rsid w:val="00167E88"/>
    <w:rsid w:val="00170002"/>
    <w:rsid w:val="00170B17"/>
    <w:rsid w:val="00171A19"/>
    <w:rsid w:val="0017265E"/>
    <w:rsid w:val="0017375C"/>
    <w:rsid w:val="001753BE"/>
    <w:rsid w:val="001759D5"/>
    <w:rsid w:val="00175D50"/>
    <w:rsid w:val="001772A5"/>
    <w:rsid w:val="001816DA"/>
    <w:rsid w:val="00181B72"/>
    <w:rsid w:val="00182F86"/>
    <w:rsid w:val="001831AD"/>
    <w:rsid w:val="001843A9"/>
    <w:rsid w:val="001847FB"/>
    <w:rsid w:val="001849D9"/>
    <w:rsid w:val="00184FF0"/>
    <w:rsid w:val="00185F5C"/>
    <w:rsid w:val="00185FAB"/>
    <w:rsid w:val="001864F8"/>
    <w:rsid w:val="00186721"/>
    <w:rsid w:val="00186AE8"/>
    <w:rsid w:val="00190748"/>
    <w:rsid w:val="00191CF1"/>
    <w:rsid w:val="00192068"/>
    <w:rsid w:val="001924B5"/>
    <w:rsid w:val="001934FC"/>
    <w:rsid w:val="00193992"/>
    <w:rsid w:val="0019448B"/>
    <w:rsid w:val="00195326"/>
    <w:rsid w:val="001964E0"/>
    <w:rsid w:val="001972AB"/>
    <w:rsid w:val="001A0066"/>
    <w:rsid w:val="001A07F2"/>
    <w:rsid w:val="001A0EA8"/>
    <w:rsid w:val="001A1235"/>
    <w:rsid w:val="001A1F52"/>
    <w:rsid w:val="001A21A5"/>
    <w:rsid w:val="001A26A8"/>
    <w:rsid w:val="001A2734"/>
    <w:rsid w:val="001A3CE6"/>
    <w:rsid w:val="001A407C"/>
    <w:rsid w:val="001A4C12"/>
    <w:rsid w:val="001A5E37"/>
    <w:rsid w:val="001A73A0"/>
    <w:rsid w:val="001A7D21"/>
    <w:rsid w:val="001B1ABF"/>
    <w:rsid w:val="001B1C4A"/>
    <w:rsid w:val="001B2F57"/>
    <w:rsid w:val="001B354F"/>
    <w:rsid w:val="001B3649"/>
    <w:rsid w:val="001B3C94"/>
    <w:rsid w:val="001B3DB0"/>
    <w:rsid w:val="001B3F68"/>
    <w:rsid w:val="001B4114"/>
    <w:rsid w:val="001B5AF7"/>
    <w:rsid w:val="001B5DF3"/>
    <w:rsid w:val="001B6912"/>
    <w:rsid w:val="001B75F3"/>
    <w:rsid w:val="001B7FD4"/>
    <w:rsid w:val="001C0590"/>
    <w:rsid w:val="001C0F99"/>
    <w:rsid w:val="001C14FF"/>
    <w:rsid w:val="001C1D2C"/>
    <w:rsid w:val="001C2115"/>
    <w:rsid w:val="001C2786"/>
    <w:rsid w:val="001C2C77"/>
    <w:rsid w:val="001C416F"/>
    <w:rsid w:val="001C41C9"/>
    <w:rsid w:val="001C4A7C"/>
    <w:rsid w:val="001C51F9"/>
    <w:rsid w:val="001C6E82"/>
    <w:rsid w:val="001C70F7"/>
    <w:rsid w:val="001C7ED9"/>
    <w:rsid w:val="001D01EC"/>
    <w:rsid w:val="001D0336"/>
    <w:rsid w:val="001D0CC2"/>
    <w:rsid w:val="001D0D52"/>
    <w:rsid w:val="001D0F1A"/>
    <w:rsid w:val="001D13DB"/>
    <w:rsid w:val="001D1F70"/>
    <w:rsid w:val="001D21D9"/>
    <w:rsid w:val="001D2F18"/>
    <w:rsid w:val="001D6BE6"/>
    <w:rsid w:val="001D6E6C"/>
    <w:rsid w:val="001D79C1"/>
    <w:rsid w:val="001D7D11"/>
    <w:rsid w:val="001E07EF"/>
    <w:rsid w:val="001E0F97"/>
    <w:rsid w:val="001E147B"/>
    <w:rsid w:val="001E1E31"/>
    <w:rsid w:val="001E1F9B"/>
    <w:rsid w:val="001E2719"/>
    <w:rsid w:val="001E2AD6"/>
    <w:rsid w:val="001E2E2B"/>
    <w:rsid w:val="001E3D9E"/>
    <w:rsid w:val="001E4462"/>
    <w:rsid w:val="001E4DF2"/>
    <w:rsid w:val="001E4EB5"/>
    <w:rsid w:val="001E55E2"/>
    <w:rsid w:val="001E5688"/>
    <w:rsid w:val="001E5959"/>
    <w:rsid w:val="001E5B86"/>
    <w:rsid w:val="001E6EC0"/>
    <w:rsid w:val="001E7538"/>
    <w:rsid w:val="001E7816"/>
    <w:rsid w:val="001F0126"/>
    <w:rsid w:val="001F0496"/>
    <w:rsid w:val="001F08C2"/>
    <w:rsid w:val="001F0BE6"/>
    <w:rsid w:val="001F187E"/>
    <w:rsid w:val="001F1925"/>
    <w:rsid w:val="001F218D"/>
    <w:rsid w:val="001F2D42"/>
    <w:rsid w:val="001F366B"/>
    <w:rsid w:val="001F429B"/>
    <w:rsid w:val="001F4AF8"/>
    <w:rsid w:val="001F5FE4"/>
    <w:rsid w:val="001F7D62"/>
    <w:rsid w:val="001F7D9B"/>
    <w:rsid w:val="00200A9A"/>
    <w:rsid w:val="0020292C"/>
    <w:rsid w:val="00202CA8"/>
    <w:rsid w:val="00204D77"/>
    <w:rsid w:val="00204F81"/>
    <w:rsid w:val="00204FCB"/>
    <w:rsid w:val="002053BA"/>
    <w:rsid w:val="0020600C"/>
    <w:rsid w:val="0020686B"/>
    <w:rsid w:val="002102F5"/>
    <w:rsid w:val="00210609"/>
    <w:rsid w:val="0021337D"/>
    <w:rsid w:val="00214A3E"/>
    <w:rsid w:val="00214AF7"/>
    <w:rsid w:val="00214BA4"/>
    <w:rsid w:val="00216882"/>
    <w:rsid w:val="0021707D"/>
    <w:rsid w:val="00220542"/>
    <w:rsid w:val="00221D1E"/>
    <w:rsid w:val="002222EE"/>
    <w:rsid w:val="00222A1D"/>
    <w:rsid w:val="0022372B"/>
    <w:rsid w:val="002249F0"/>
    <w:rsid w:val="00224F4A"/>
    <w:rsid w:val="002266C7"/>
    <w:rsid w:val="002269A1"/>
    <w:rsid w:val="00226EEA"/>
    <w:rsid w:val="00227BB3"/>
    <w:rsid w:val="00231AE6"/>
    <w:rsid w:val="00232098"/>
    <w:rsid w:val="00233129"/>
    <w:rsid w:val="00233392"/>
    <w:rsid w:val="00233402"/>
    <w:rsid w:val="0023373B"/>
    <w:rsid w:val="0023446A"/>
    <w:rsid w:val="00234482"/>
    <w:rsid w:val="002344C5"/>
    <w:rsid w:val="00235D40"/>
    <w:rsid w:val="00236AFE"/>
    <w:rsid w:val="00236DC8"/>
    <w:rsid w:val="00240669"/>
    <w:rsid w:val="00241542"/>
    <w:rsid w:val="00241ED5"/>
    <w:rsid w:val="00241F60"/>
    <w:rsid w:val="00242108"/>
    <w:rsid w:val="00242123"/>
    <w:rsid w:val="002424F1"/>
    <w:rsid w:val="0024269A"/>
    <w:rsid w:val="00242FD4"/>
    <w:rsid w:val="002438E1"/>
    <w:rsid w:val="00243E0A"/>
    <w:rsid w:val="002452D6"/>
    <w:rsid w:val="00246BD7"/>
    <w:rsid w:val="00246E0E"/>
    <w:rsid w:val="0024796A"/>
    <w:rsid w:val="00247BFA"/>
    <w:rsid w:val="00250475"/>
    <w:rsid w:val="0025204E"/>
    <w:rsid w:val="00252BE5"/>
    <w:rsid w:val="00253208"/>
    <w:rsid w:val="002534C3"/>
    <w:rsid w:val="0025362F"/>
    <w:rsid w:val="00254ED2"/>
    <w:rsid w:val="00255E4F"/>
    <w:rsid w:val="002560C0"/>
    <w:rsid w:val="00256B12"/>
    <w:rsid w:val="002574EF"/>
    <w:rsid w:val="002579BE"/>
    <w:rsid w:val="00260509"/>
    <w:rsid w:val="002605EE"/>
    <w:rsid w:val="00262952"/>
    <w:rsid w:val="002633FB"/>
    <w:rsid w:val="00264265"/>
    <w:rsid w:val="002647ED"/>
    <w:rsid w:val="00265C9D"/>
    <w:rsid w:val="002662DA"/>
    <w:rsid w:val="00266472"/>
    <w:rsid w:val="00266C8F"/>
    <w:rsid w:val="00266EDD"/>
    <w:rsid w:val="002705BD"/>
    <w:rsid w:val="002706F7"/>
    <w:rsid w:val="00270C67"/>
    <w:rsid w:val="00270D7F"/>
    <w:rsid w:val="0027111D"/>
    <w:rsid w:val="002713EF"/>
    <w:rsid w:val="002717AC"/>
    <w:rsid w:val="00272E42"/>
    <w:rsid w:val="002735F7"/>
    <w:rsid w:val="002744F3"/>
    <w:rsid w:val="002747E3"/>
    <w:rsid w:val="00274846"/>
    <w:rsid w:val="00274B96"/>
    <w:rsid w:val="00275279"/>
    <w:rsid w:val="00275733"/>
    <w:rsid w:val="002759D2"/>
    <w:rsid w:val="00275CB8"/>
    <w:rsid w:val="00276950"/>
    <w:rsid w:val="00276AA6"/>
    <w:rsid w:val="0028121B"/>
    <w:rsid w:val="00281B66"/>
    <w:rsid w:val="00282EF9"/>
    <w:rsid w:val="0028409F"/>
    <w:rsid w:val="00284BF6"/>
    <w:rsid w:val="002855BB"/>
    <w:rsid w:val="00285662"/>
    <w:rsid w:val="00285DEC"/>
    <w:rsid w:val="002864B8"/>
    <w:rsid w:val="00286AA8"/>
    <w:rsid w:val="00287450"/>
    <w:rsid w:val="00287A8E"/>
    <w:rsid w:val="00290291"/>
    <w:rsid w:val="002915F8"/>
    <w:rsid w:val="002918BA"/>
    <w:rsid w:val="00291C05"/>
    <w:rsid w:val="00291C92"/>
    <w:rsid w:val="00292E5C"/>
    <w:rsid w:val="00295459"/>
    <w:rsid w:val="002959F0"/>
    <w:rsid w:val="002A0691"/>
    <w:rsid w:val="002A0CFC"/>
    <w:rsid w:val="002A0F7F"/>
    <w:rsid w:val="002A0FAE"/>
    <w:rsid w:val="002A30AD"/>
    <w:rsid w:val="002A34C1"/>
    <w:rsid w:val="002A49F3"/>
    <w:rsid w:val="002A550C"/>
    <w:rsid w:val="002A5AF4"/>
    <w:rsid w:val="002A5FEE"/>
    <w:rsid w:val="002A6243"/>
    <w:rsid w:val="002A6386"/>
    <w:rsid w:val="002A7164"/>
    <w:rsid w:val="002A771D"/>
    <w:rsid w:val="002B019B"/>
    <w:rsid w:val="002B0C53"/>
    <w:rsid w:val="002B1C2E"/>
    <w:rsid w:val="002B1EB9"/>
    <w:rsid w:val="002B3DA6"/>
    <w:rsid w:val="002B45C5"/>
    <w:rsid w:val="002B4F08"/>
    <w:rsid w:val="002B5390"/>
    <w:rsid w:val="002B57BA"/>
    <w:rsid w:val="002B5E02"/>
    <w:rsid w:val="002B7338"/>
    <w:rsid w:val="002B7347"/>
    <w:rsid w:val="002C16FC"/>
    <w:rsid w:val="002C22B9"/>
    <w:rsid w:val="002C36B6"/>
    <w:rsid w:val="002C3B48"/>
    <w:rsid w:val="002C4E2C"/>
    <w:rsid w:val="002C5048"/>
    <w:rsid w:val="002C50DD"/>
    <w:rsid w:val="002C58B2"/>
    <w:rsid w:val="002C58B3"/>
    <w:rsid w:val="002C68F6"/>
    <w:rsid w:val="002C762C"/>
    <w:rsid w:val="002C7D46"/>
    <w:rsid w:val="002D0630"/>
    <w:rsid w:val="002D134C"/>
    <w:rsid w:val="002D14FC"/>
    <w:rsid w:val="002D23D7"/>
    <w:rsid w:val="002D25C0"/>
    <w:rsid w:val="002D2A76"/>
    <w:rsid w:val="002D3052"/>
    <w:rsid w:val="002D3196"/>
    <w:rsid w:val="002D4D7E"/>
    <w:rsid w:val="002D63C5"/>
    <w:rsid w:val="002D6D89"/>
    <w:rsid w:val="002D77A2"/>
    <w:rsid w:val="002E02AC"/>
    <w:rsid w:val="002E2B1B"/>
    <w:rsid w:val="002E2D03"/>
    <w:rsid w:val="002E4017"/>
    <w:rsid w:val="002E415B"/>
    <w:rsid w:val="002E527B"/>
    <w:rsid w:val="002E614F"/>
    <w:rsid w:val="002E7974"/>
    <w:rsid w:val="002E7E45"/>
    <w:rsid w:val="002E7FE1"/>
    <w:rsid w:val="002F08E3"/>
    <w:rsid w:val="002F13B2"/>
    <w:rsid w:val="002F1575"/>
    <w:rsid w:val="002F1672"/>
    <w:rsid w:val="002F1FDC"/>
    <w:rsid w:val="002F30E4"/>
    <w:rsid w:val="002F3596"/>
    <w:rsid w:val="002F42AC"/>
    <w:rsid w:val="002F522A"/>
    <w:rsid w:val="002F5B96"/>
    <w:rsid w:val="002F7382"/>
    <w:rsid w:val="002F75AC"/>
    <w:rsid w:val="00300412"/>
    <w:rsid w:val="00300805"/>
    <w:rsid w:val="0030091D"/>
    <w:rsid w:val="003012E3"/>
    <w:rsid w:val="0030340D"/>
    <w:rsid w:val="00304D01"/>
    <w:rsid w:val="00304D24"/>
    <w:rsid w:val="00304D92"/>
    <w:rsid w:val="003052BB"/>
    <w:rsid w:val="0030553E"/>
    <w:rsid w:val="003058F2"/>
    <w:rsid w:val="00306C18"/>
    <w:rsid w:val="00307125"/>
    <w:rsid w:val="00310BA0"/>
    <w:rsid w:val="00310E4D"/>
    <w:rsid w:val="003124E2"/>
    <w:rsid w:val="00312C14"/>
    <w:rsid w:val="00314453"/>
    <w:rsid w:val="003150A1"/>
    <w:rsid w:val="003158C2"/>
    <w:rsid w:val="003178D7"/>
    <w:rsid w:val="003204F2"/>
    <w:rsid w:val="0032126F"/>
    <w:rsid w:val="003218B4"/>
    <w:rsid w:val="0032196F"/>
    <w:rsid w:val="00321D8F"/>
    <w:rsid w:val="003221D5"/>
    <w:rsid w:val="00322580"/>
    <w:rsid w:val="00322920"/>
    <w:rsid w:val="00323092"/>
    <w:rsid w:val="003244A7"/>
    <w:rsid w:val="003256EE"/>
    <w:rsid w:val="0032623E"/>
    <w:rsid w:val="00326AAB"/>
    <w:rsid w:val="003315D0"/>
    <w:rsid w:val="00331696"/>
    <w:rsid w:val="00332850"/>
    <w:rsid w:val="00333140"/>
    <w:rsid w:val="003359A9"/>
    <w:rsid w:val="00335B95"/>
    <w:rsid w:val="003360DD"/>
    <w:rsid w:val="0033632D"/>
    <w:rsid w:val="00337D05"/>
    <w:rsid w:val="00341AEB"/>
    <w:rsid w:val="00341B66"/>
    <w:rsid w:val="0034217D"/>
    <w:rsid w:val="00342594"/>
    <w:rsid w:val="00342796"/>
    <w:rsid w:val="003447A2"/>
    <w:rsid w:val="00344830"/>
    <w:rsid w:val="00344C17"/>
    <w:rsid w:val="003454DA"/>
    <w:rsid w:val="00346A9D"/>
    <w:rsid w:val="00350010"/>
    <w:rsid w:val="0035079A"/>
    <w:rsid w:val="00350F82"/>
    <w:rsid w:val="0035118D"/>
    <w:rsid w:val="0035167D"/>
    <w:rsid w:val="00351C30"/>
    <w:rsid w:val="003520DE"/>
    <w:rsid w:val="00353800"/>
    <w:rsid w:val="00354B52"/>
    <w:rsid w:val="003555DF"/>
    <w:rsid w:val="00355F98"/>
    <w:rsid w:val="00356725"/>
    <w:rsid w:val="0035712D"/>
    <w:rsid w:val="00357C0E"/>
    <w:rsid w:val="003600DB"/>
    <w:rsid w:val="00360F17"/>
    <w:rsid w:val="003623A9"/>
    <w:rsid w:val="0036253A"/>
    <w:rsid w:val="00362E2B"/>
    <w:rsid w:val="00363160"/>
    <w:rsid w:val="00363BEF"/>
    <w:rsid w:val="00363D45"/>
    <w:rsid w:val="00363D80"/>
    <w:rsid w:val="00363DD6"/>
    <w:rsid w:val="00364488"/>
    <w:rsid w:val="003644A3"/>
    <w:rsid w:val="003645F8"/>
    <w:rsid w:val="00365549"/>
    <w:rsid w:val="00366DC9"/>
    <w:rsid w:val="0036795B"/>
    <w:rsid w:val="003708B5"/>
    <w:rsid w:val="00371F1C"/>
    <w:rsid w:val="00373091"/>
    <w:rsid w:val="00373307"/>
    <w:rsid w:val="003745B3"/>
    <w:rsid w:val="00375318"/>
    <w:rsid w:val="00375CC1"/>
    <w:rsid w:val="00376010"/>
    <w:rsid w:val="00376E26"/>
    <w:rsid w:val="00380770"/>
    <w:rsid w:val="00381683"/>
    <w:rsid w:val="0038195F"/>
    <w:rsid w:val="00382F53"/>
    <w:rsid w:val="0038367F"/>
    <w:rsid w:val="003836E5"/>
    <w:rsid w:val="00383899"/>
    <w:rsid w:val="003848D8"/>
    <w:rsid w:val="003858FA"/>
    <w:rsid w:val="00391168"/>
    <w:rsid w:val="003911A0"/>
    <w:rsid w:val="00391D78"/>
    <w:rsid w:val="00391F44"/>
    <w:rsid w:val="00393B16"/>
    <w:rsid w:val="00393CEC"/>
    <w:rsid w:val="00394142"/>
    <w:rsid w:val="00394275"/>
    <w:rsid w:val="003949DF"/>
    <w:rsid w:val="00394A0F"/>
    <w:rsid w:val="00394D06"/>
    <w:rsid w:val="003952DD"/>
    <w:rsid w:val="0039569F"/>
    <w:rsid w:val="00395DD2"/>
    <w:rsid w:val="00396303"/>
    <w:rsid w:val="003972AB"/>
    <w:rsid w:val="0039749F"/>
    <w:rsid w:val="00397D44"/>
    <w:rsid w:val="003A0C8F"/>
    <w:rsid w:val="003A17FC"/>
    <w:rsid w:val="003A19C4"/>
    <w:rsid w:val="003A1B87"/>
    <w:rsid w:val="003A2265"/>
    <w:rsid w:val="003A230B"/>
    <w:rsid w:val="003A2749"/>
    <w:rsid w:val="003A3930"/>
    <w:rsid w:val="003A3EBC"/>
    <w:rsid w:val="003A45DA"/>
    <w:rsid w:val="003A4686"/>
    <w:rsid w:val="003A6A33"/>
    <w:rsid w:val="003A7D85"/>
    <w:rsid w:val="003B04D1"/>
    <w:rsid w:val="003B0931"/>
    <w:rsid w:val="003B3322"/>
    <w:rsid w:val="003B4706"/>
    <w:rsid w:val="003B50A8"/>
    <w:rsid w:val="003B527E"/>
    <w:rsid w:val="003B64FE"/>
    <w:rsid w:val="003B75CB"/>
    <w:rsid w:val="003B7C14"/>
    <w:rsid w:val="003C0719"/>
    <w:rsid w:val="003C077F"/>
    <w:rsid w:val="003C09E8"/>
    <w:rsid w:val="003C1779"/>
    <w:rsid w:val="003C232E"/>
    <w:rsid w:val="003C2ED7"/>
    <w:rsid w:val="003C2F6F"/>
    <w:rsid w:val="003C3DE6"/>
    <w:rsid w:val="003C4A22"/>
    <w:rsid w:val="003C5F05"/>
    <w:rsid w:val="003C64B4"/>
    <w:rsid w:val="003C7839"/>
    <w:rsid w:val="003D0BDB"/>
    <w:rsid w:val="003D1BE1"/>
    <w:rsid w:val="003D1CEA"/>
    <w:rsid w:val="003D1D5C"/>
    <w:rsid w:val="003D2B57"/>
    <w:rsid w:val="003D3D2E"/>
    <w:rsid w:val="003D3F1D"/>
    <w:rsid w:val="003D4D26"/>
    <w:rsid w:val="003D5E69"/>
    <w:rsid w:val="003D7D2F"/>
    <w:rsid w:val="003D7E5B"/>
    <w:rsid w:val="003E1866"/>
    <w:rsid w:val="003E2418"/>
    <w:rsid w:val="003E3A5D"/>
    <w:rsid w:val="003E594C"/>
    <w:rsid w:val="003E5AAB"/>
    <w:rsid w:val="003E5D67"/>
    <w:rsid w:val="003E6119"/>
    <w:rsid w:val="003E6161"/>
    <w:rsid w:val="003E6581"/>
    <w:rsid w:val="003E67B0"/>
    <w:rsid w:val="003E690A"/>
    <w:rsid w:val="003E6DD8"/>
    <w:rsid w:val="003E73D3"/>
    <w:rsid w:val="003E7844"/>
    <w:rsid w:val="003F0BDA"/>
    <w:rsid w:val="003F0FFC"/>
    <w:rsid w:val="003F1EF0"/>
    <w:rsid w:val="003F2807"/>
    <w:rsid w:val="003F2BC0"/>
    <w:rsid w:val="003F2C0E"/>
    <w:rsid w:val="003F2CDB"/>
    <w:rsid w:val="003F3E54"/>
    <w:rsid w:val="003F536B"/>
    <w:rsid w:val="003F6385"/>
    <w:rsid w:val="003F66AE"/>
    <w:rsid w:val="0040098F"/>
    <w:rsid w:val="0040131B"/>
    <w:rsid w:val="0040191F"/>
    <w:rsid w:val="00402464"/>
    <w:rsid w:val="00403125"/>
    <w:rsid w:val="0040330A"/>
    <w:rsid w:val="00403317"/>
    <w:rsid w:val="004048F3"/>
    <w:rsid w:val="004052D7"/>
    <w:rsid w:val="0040645A"/>
    <w:rsid w:val="004066FB"/>
    <w:rsid w:val="0040726A"/>
    <w:rsid w:val="004106A4"/>
    <w:rsid w:val="004108E5"/>
    <w:rsid w:val="004112FB"/>
    <w:rsid w:val="0041152D"/>
    <w:rsid w:val="00411683"/>
    <w:rsid w:val="00412140"/>
    <w:rsid w:val="00412F28"/>
    <w:rsid w:val="004135F4"/>
    <w:rsid w:val="004150CF"/>
    <w:rsid w:val="00420C02"/>
    <w:rsid w:val="004214CB"/>
    <w:rsid w:val="00421CDD"/>
    <w:rsid w:val="004249C7"/>
    <w:rsid w:val="00425E76"/>
    <w:rsid w:val="004261D3"/>
    <w:rsid w:val="004277B3"/>
    <w:rsid w:val="00430031"/>
    <w:rsid w:val="004305E0"/>
    <w:rsid w:val="00430DFD"/>
    <w:rsid w:val="00431991"/>
    <w:rsid w:val="00431D4D"/>
    <w:rsid w:val="00432B0A"/>
    <w:rsid w:val="0043374F"/>
    <w:rsid w:val="00434E8E"/>
    <w:rsid w:val="00435B56"/>
    <w:rsid w:val="00435B5E"/>
    <w:rsid w:val="00436667"/>
    <w:rsid w:val="00436D29"/>
    <w:rsid w:val="004401B1"/>
    <w:rsid w:val="00440650"/>
    <w:rsid w:val="004409BC"/>
    <w:rsid w:val="004418DB"/>
    <w:rsid w:val="00442E94"/>
    <w:rsid w:val="00443799"/>
    <w:rsid w:val="00443CB5"/>
    <w:rsid w:val="0044434D"/>
    <w:rsid w:val="004443CE"/>
    <w:rsid w:val="00444827"/>
    <w:rsid w:val="00444ADA"/>
    <w:rsid w:val="0044514E"/>
    <w:rsid w:val="00446B64"/>
    <w:rsid w:val="0045091E"/>
    <w:rsid w:val="00450FAB"/>
    <w:rsid w:val="00451032"/>
    <w:rsid w:val="00451CA2"/>
    <w:rsid w:val="00451D96"/>
    <w:rsid w:val="004522C0"/>
    <w:rsid w:val="00452F1D"/>
    <w:rsid w:val="00454D11"/>
    <w:rsid w:val="00455085"/>
    <w:rsid w:val="0045580D"/>
    <w:rsid w:val="00456ABC"/>
    <w:rsid w:val="004572D9"/>
    <w:rsid w:val="00457A46"/>
    <w:rsid w:val="00461B55"/>
    <w:rsid w:val="00461E2F"/>
    <w:rsid w:val="0046365B"/>
    <w:rsid w:val="004649C2"/>
    <w:rsid w:val="00466144"/>
    <w:rsid w:val="00466A27"/>
    <w:rsid w:val="00467237"/>
    <w:rsid w:val="004703A0"/>
    <w:rsid w:val="00470540"/>
    <w:rsid w:val="0047080D"/>
    <w:rsid w:val="00470935"/>
    <w:rsid w:val="0047417C"/>
    <w:rsid w:val="00474560"/>
    <w:rsid w:val="004746C4"/>
    <w:rsid w:val="004759B3"/>
    <w:rsid w:val="004771D3"/>
    <w:rsid w:val="0047790D"/>
    <w:rsid w:val="00477B79"/>
    <w:rsid w:val="00480565"/>
    <w:rsid w:val="00480B06"/>
    <w:rsid w:val="00481660"/>
    <w:rsid w:val="004817AD"/>
    <w:rsid w:val="0048486D"/>
    <w:rsid w:val="0048663C"/>
    <w:rsid w:val="00486B47"/>
    <w:rsid w:val="00486F5A"/>
    <w:rsid w:val="00487720"/>
    <w:rsid w:val="00490D4C"/>
    <w:rsid w:val="004913BD"/>
    <w:rsid w:val="00491DCD"/>
    <w:rsid w:val="00492BB9"/>
    <w:rsid w:val="004939E8"/>
    <w:rsid w:val="0049445A"/>
    <w:rsid w:val="00494944"/>
    <w:rsid w:val="00494D52"/>
    <w:rsid w:val="00494E1C"/>
    <w:rsid w:val="00495ECE"/>
    <w:rsid w:val="0049646F"/>
    <w:rsid w:val="004A09B2"/>
    <w:rsid w:val="004A105B"/>
    <w:rsid w:val="004A36FB"/>
    <w:rsid w:val="004A3AED"/>
    <w:rsid w:val="004A3DFD"/>
    <w:rsid w:val="004A460B"/>
    <w:rsid w:val="004A4896"/>
    <w:rsid w:val="004A58BD"/>
    <w:rsid w:val="004A5F4B"/>
    <w:rsid w:val="004A61C5"/>
    <w:rsid w:val="004A61FA"/>
    <w:rsid w:val="004A629F"/>
    <w:rsid w:val="004A64FF"/>
    <w:rsid w:val="004A6960"/>
    <w:rsid w:val="004A6BEE"/>
    <w:rsid w:val="004A78DB"/>
    <w:rsid w:val="004A7FDD"/>
    <w:rsid w:val="004B0524"/>
    <w:rsid w:val="004B0A37"/>
    <w:rsid w:val="004B1756"/>
    <w:rsid w:val="004B3D82"/>
    <w:rsid w:val="004B452E"/>
    <w:rsid w:val="004B45FD"/>
    <w:rsid w:val="004B5378"/>
    <w:rsid w:val="004B55E0"/>
    <w:rsid w:val="004B5821"/>
    <w:rsid w:val="004B62E1"/>
    <w:rsid w:val="004B7C0F"/>
    <w:rsid w:val="004C19E5"/>
    <w:rsid w:val="004C1C05"/>
    <w:rsid w:val="004C2287"/>
    <w:rsid w:val="004C3AB0"/>
    <w:rsid w:val="004C4E13"/>
    <w:rsid w:val="004C4E18"/>
    <w:rsid w:val="004C4F39"/>
    <w:rsid w:val="004C5582"/>
    <w:rsid w:val="004C5B7E"/>
    <w:rsid w:val="004C612D"/>
    <w:rsid w:val="004C6AD8"/>
    <w:rsid w:val="004C729A"/>
    <w:rsid w:val="004C7A6F"/>
    <w:rsid w:val="004D004D"/>
    <w:rsid w:val="004D0143"/>
    <w:rsid w:val="004D0A05"/>
    <w:rsid w:val="004D1E03"/>
    <w:rsid w:val="004D247B"/>
    <w:rsid w:val="004D2956"/>
    <w:rsid w:val="004D5675"/>
    <w:rsid w:val="004D74F4"/>
    <w:rsid w:val="004D79AC"/>
    <w:rsid w:val="004D7A71"/>
    <w:rsid w:val="004D7AED"/>
    <w:rsid w:val="004D7B16"/>
    <w:rsid w:val="004D7DCB"/>
    <w:rsid w:val="004D7F90"/>
    <w:rsid w:val="004E0F27"/>
    <w:rsid w:val="004E40BB"/>
    <w:rsid w:val="004E4A12"/>
    <w:rsid w:val="004E533B"/>
    <w:rsid w:val="004E6571"/>
    <w:rsid w:val="004E6622"/>
    <w:rsid w:val="004E69BD"/>
    <w:rsid w:val="004E6F82"/>
    <w:rsid w:val="004F1A0C"/>
    <w:rsid w:val="004F268A"/>
    <w:rsid w:val="004F2BE0"/>
    <w:rsid w:val="004F3DA6"/>
    <w:rsid w:val="004F3F93"/>
    <w:rsid w:val="004F5B9F"/>
    <w:rsid w:val="004F5C40"/>
    <w:rsid w:val="004F6215"/>
    <w:rsid w:val="004F6704"/>
    <w:rsid w:val="004F7721"/>
    <w:rsid w:val="00500B72"/>
    <w:rsid w:val="00501A70"/>
    <w:rsid w:val="00501CC2"/>
    <w:rsid w:val="00502436"/>
    <w:rsid w:val="00502606"/>
    <w:rsid w:val="00503A04"/>
    <w:rsid w:val="00504AA4"/>
    <w:rsid w:val="00504EA0"/>
    <w:rsid w:val="00505797"/>
    <w:rsid w:val="00505A29"/>
    <w:rsid w:val="005063B4"/>
    <w:rsid w:val="00507595"/>
    <w:rsid w:val="005114C3"/>
    <w:rsid w:val="00512180"/>
    <w:rsid w:val="005131AC"/>
    <w:rsid w:val="0051341A"/>
    <w:rsid w:val="005142CE"/>
    <w:rsid w:val="00514357"/>
    <w:rsid w:val="00514394"/>
    <w:rsid w:val="00514801"/>
    <w:rsid w:val="00515B9A"/>
    <w:rsid w:val="0051602B"/>
    <w:rsid w:val="00516192"/>
    <w:rsid w:val="00516243"/>
    <w:rsid w:val="00516DDD"/>
    <w:rsid w:val="005171DE"/>
    <w:rsid w:val="0052039C"/>
    <w:rsid w:val="00520D0B"/>
    <w:rsid w:val="00520FFC"/>
    <w:rsid w:val="0052142D"/>
    <w:rsid w:val="005218EB"/>
    <w:rsid w:val="005220D7"/>
    <w:rsid w:val="00523242"/>
    <w:rsid w:val="005238F8"/>
    <w:rsid w:val="00523A17"/>
    <w:rsid w:val="00524804"/>
    <w:rsid w:val="00524904"/>
    <w:rsid w:val="005252D1"/>
    <w:rsid w:val="00525C80"/>
    <w:rsid w:val="00527ABD"/>
    <w:rsid w:val="00527BBC"/>
    <w:rsid w:val="0053014C"/>
    <w:rsid w:val="005304CF"/>
    <w:rsid w:val="005308BB"/>
    <w:rsid w:val="0053180C"/>
    <w:rsid w:val="00531848"/>
    <w:rsid w:val="005318F8"/>
    <w:rsid w:val="00531968"/>
    <w:rsid w:val="00531E48"/>
    <w:rsid w:val="00532C4C"/>
    <w:rsid w:val="005376F0"/>
    <w:rsid w:val="00540074"/>
    <w:rsid w:val="00540DCE"/>
    <w:rsid w:val="00541573"/>
    <w:rsid w:val="00542056"/>
    <w:rsid w:val="0054347B"/>
    <w:rsid w:val="00543CC2"/>
    <w:rsid w:val="0054455C"/>
    <w:rsid w:val="0054617B"/>
    <w:rsid w:val="005462AF"/>
    <w:rsid w:val="00546D25"/>
    <w:rsid w:val="00547AC3"/>
    <w:rsid w:val="00550212"/>
    <w:rsid w:val="00550D76"/>
    <w:rsid w:val="005513BD"/>
    <w:rsid w:val="005516B7"/>
    <w:rsid w:val="00551DF4"/>
    <w:rsid w:val="00551EAC"/>
    <w:rsid w:val="0055272C"/>
    <w:rsid w:val="005533E1"/>
    <w:rsid w:val="00553D4C"/>
    <w:rsid w:val="0055459E"/>
    <w:rsid w:val="00554695"/>
    <w:rsid w:val="00555184"/>
    <w:rsid w:val="005552E8"/>
    <w:rsid w:val="00555E29"/>
    <w:rsid w:val="00556BE6"/>
    <w:rsid w:val="00557A39"/>
    <w:rsid w:val="00557C24"/>
    <w:rsid w:val="005601BB"/>
    <w:rsid w:val="005605A2"/>
    <w:rsid w:val="005619D9"/>
    <w:rsid w:val="00561ED2"/>
    <w:rsid w:val="00561F1E"/>
    <w:rsid w:val="00561F80"/>
    <w:rsid w:val="005628CA"/>
    <w:rsid w:val="0056322C"/>
    <w:rsid w:val="00563D6E"/>
    <w:rsid w:val="00565ACB"/>
    <w:rsid w:val="005668F5"/>
    <w:rsid w:val="00566B53"/>
    <w:rsid w:val="00566CE0"/>
    <w:rsid w:val="00567195"/>
    <w:rsid w:val="00567503"/>
    <w:rsid w:val="005679AB"/>
    <w:rsid w:val="0057015F"/>
    <w:rsid w:val="00570AF4"/>
    <w:rsid w:val="00570EB3"/>
    <w:rsid w:val="00574EAD"/>
    <w:rsid w:val="005759E5"/>
    <w:rsid w:val="005761F0"/>
    <w:rsid w:val="005763BC"/>
    <w:rsid w:val="00577BCC"/>
    <w:rsid w:val="0058088C"/>
    <w:rsid w:val="00581DE8"/>
    <w:rsid w:val="0058222E"/>
    <w:rsid w:val="00582676"/>
    <w:rsid w:val="005826CC"/>
    <w:rsid w:val="0058380C"/>
    <w:rsid w:val="00583E0D"/>
    <w:rsid w:val="00584E9A"/>
    <w:rsid w:val="00586DD4"/>
    <w:rsid w:val="005874F8"/>
    <w:rsid w:val="00587D7D"/>
    <w:rsid w:val="005910AE"/>
    <w:rsid w:val="005912F2"/>
    <w:rsid w:val="005913D2"/>
    <w:rsid w:val="005915EA"/>
    <w:rsid w:val="00591EC6"/>
    <w:rsid w:val="00592072"/>
    <w:rsid w:val="00593F64"/>
    <w:rsid w:val="00595B43"/>
    <w:rsid w:val="00595FD9"/>
    <w:rsid w:val="00596048"/>
    <w:rsid w:val="00596904"/>
    <w:rsid w:val="00597DD6"/>
    <w:rsid w:val="005A08E3"/>
    <w:rsid w:val="005A0E3A"/>
    <w:rsid w:val="005A104C"/>
    <w:rsid w:val="005A138C"/>
    <w:rsid w:val="005A2824"/>
    <w:rsid w:val="005A2AB5"/>
    <w:rsid w:val="005A2E02"/>
    <w:rsid w:val="005A522F"/>
    <w:rsid w:val="005A5AF7"/>
    <w:rsid w:val="005A5D2B"/>
    <w:rsid w:val="005A617F"/>
    <w:rsid w:val="005A7B05"/>
    <w:rsid w:val="005A7B8C"/>
    <w:rsid w:val="005B0A78"/>
    <w:rsid w:val="005B243F"/>
    <w:rsid w:val="005B3D99"/>
    <w:rsid w:val="005B4122"/>
    <w:rsid w:val="005B4B9E"/>
    <w:rsid w:val="005B5C3D"/>
    <w:rsid w:val="005C006E"/>
    <w:rsid w:val="005C0623"/>
    <w:rsid w:val="005C07C7"/>
    <w:rsid w:val="005C091F"/>
    <w:rsid w:val="005C2041"/>
    <w:rsid w:val="005C2B4C"/>
    <w:rsid w:val="005C35E7"/>
    <w:rsid w:val="005C4819"/>
    <w:rsid w:val="005C4EED"/>
    <w:rsid w:val="005C55E7"/>
    <w:rsid w:val="005C5605"/>
    <w:rsid w:val="005C6F6C"/>
    <w:rsid w:val="005C7860"/>
    <w:rsid w:val="005D03D6"/>
    <w:rsid w:val="005D0BF3"/>
    <w:rsid w:val="005D114E"/>
    <w:rsid w:val="005D3223"/>
    <w:rsid w:val="005D33F1"/>
    <w:rsid w:val="005D4AAB"/>
    <w:rsid w:val="005D4CE1"/>
    <w:rsid w:val="005D5FA5"/>
    <w:rsid w:val="005D6853"/>
    <w:rsid w:val="005D6A92"/>
    <w:rsid w:val="005D7333"/>
    <w:rsid w:val="005D7616"/>
    <w:rsid w:val="005D79FE"/>
    <w:rsid w:val="005D7EF8"/>
    <w:rsid w:val="005D7F09"/>
    <w:rsid w:val="005E0034"/>
    <w:rsid w:val="005E0B1F"/>
    <w:rsid w:val="005E1663"/>
    <w:rsid w:val="005E193D"/>
    <w:rsid w:val="005E32D0"/>
    <w:rsid w:val="005E3371"/>
    <w:rsid w:val="005E3461"/>
    <w:rsid w:val="005E34EE"/>
    <w:rsid w:val="005E5019"/>
    <w:rsid w:val="005E5032"/>
    <w:rsid w:val="005E63CF"/>
    <w:rsid w:val="005E646B"/>
    <w:rsid w:val="005E758D"/>
    <w:rsid w:val="005F0E1D"/>
    <w:rsid w:val="005F1626"/>
    <w:rsid w:val="005F1674"/>
    <w:rsid w:val="005F21BF"/>
    <w:rsid w:val="005F242E"/>
    <w:rsid w:val="005F2900"/>
    <w:rsid w:val="005F3635"/>
    <w:rsid w:val="005F3A1E"/>
    <w:rsid w:val="005F4272"/>
    <w:rsid w:val="005F4700"/>
    <w:rsid w:val="005F4F1A"/>
    <w:rsid w:val="005F5318"/>
    <w:rsid w:val="005F6082"/>
    <w:rsid w:val="005F6706"/>
    <w:rsid w:val="005F6C10"/>
    <w:rsid w:val="005F6C4A"/>
    <w:rsid w:val="005F7EAA"/>
    <w:rsid w:val="0060001C"/>
    <w:rsid w:val="00601486"/>
    <w:rsid w:val="00601F5F"/>
    <w:rsid w:val="006021A7"/>
    <w:rsid w:val="00602814"/>
    <w:rsid w:val="00605AC3"/>
    <w:rsid w:val="006066B4"/>
    <w:rsid w:val="00606C86"/>
    <w:rsid w:val="006072C7"/>
    <w:rsid w:val="00607F55"/>
    <w:rsid w:val="00610BB8"/>
    <w:rsid w:val="0061109A"/>
    <w:rsid w:val="0061147B"/>
    <w:rsid w:val="00611F35"/>
    <w:rsid w:val="0061423D"/>
    <w:rsid w:val="00614316"/>
    <w:rsid w:val="006147D4"/>
    <w:rsid w:val="0061500F"/>
    <w:rsid w:val="00615443"/>
    <w:rsid w:val="006154EB"/>
    <w:rsid w:val="00615DDA"/>
    <w:rsid w:val="00616D01"/>
    <w:rsid w:val="00617638"/>
    <w:rsid w:val="00617AB1"/>
    <w:rsid w:val="0062017B"/>
    <w:rsid w:val="006205BA"/>
    <w:rsid w:val="00620E04"/>
    <w:rsid w:val="0062141E"/>
    <w:rsid w:val="00621559"/>
    <w:rsid w:val="00621DC6"/>
    <w:rsid w:val="00622732"/>
    <w:rsid w:val="00622AE1"/>
    <w:rsid w:val="006235AC"/>
    <w:rsid w:val="006238D6"/>
    <w:rsid w:val="0062487C"/>
    <w:rsid w:val="006259C1"/>
    <w:rsid w:val="00625E88"/>
    <w:rsid w:val="00626643"/>
    <w:rsid w:val="006268A9"/>
    <w:rsid w:val="00626ED1"/>
    <w:rsid w:val="00627948"/>
    <w:rsid w:val="0063086A"/>
    <w:rsid w:val="006309CE"/>
    <w:rsid w:val="006319D6"/>
    <w:rsid w:val="0063427B"/>
    <w:rsid w:val="00634685"/>
    <w:rsid w:val="00634E45"/>
    <w:rsid w:val="00635EBD"/>
    <w:rsid w:val="00637873"/>
    <w:rsid w:val="00640E66"/>
    <w:rsid w:val="00642545"/>
    <w:rsid w:val="00643420"/>
    <w:rsid w:val="0064424F"/>
    <w:rsid w:val="00644333"/>
    <w:rsid w:val="006446F9"/>
    <w:rsid w:val="0064508F"/>
    <w:rsid w:val="0064570E"/>
    <w:rsid w:val="00646BB3"/>
    <w:rsid w:val="006473F7"/>
    <w:rsid w:val="006476D0"/>
    <w:rsid w:val="006501CB"/>
    <w:rsid w:val="00650301"/>
    <w:rsid w:val="0065043C"/>
    <w:rsid w:val="00650A63"/>
    <w:rsid w:val="00651485"/>
    <w:rsid w:val="00652B8B"/>
    <w:rsid w:val="00652E7D"/>
    <w:rsid w:val="00653A11"/>
    <w:rsid w:val="00653A92"/>
    <w:rsid w:val="00653FE6"/>
    <w:rsid w:val="006547EC"/>
    <w:rsid w:val="00654CF5"/>
    <w:rsid w:val="006564A0"/>
    <w:rsid w:val="00660969"/>
    <w:rsid w:val="00661505"/>
    <w:rsid w:val="00662D0F"/>
    <w:rsid w:val="006642FC"/>
    <w:rsid w:val="006647A2"/>
    <w:rsid w:val="00664B48"/>
    <w:rsid w:val="0066524F"/>
    <w:rsid w:val="0066528A"/>
    <w:rsid w:val="006654FC"/>
    <w:rsid w:val="0066683D"/>
    <w:rsid w:val="00666ED5"/>
    <w:rsid w:val="00667B8E"/>
    <w:rsid w:val="00670BF7"/>
    <w:rsid w:val="006715B3"/>
    <w:rsid w:val="00671638"/>
    <w:rsid w:val="00671C22"/>
    <w:rsid w:val="00672929"/>
    <w:rsid w:val="00672F5F"/>
    <w:rsid w:val="0067405C"/>
    <w:rsid w:val="00674211"/>
    <w:rsid w:val="006742C8"/>
    <w:rsid w:val="00674CAD"/>
    <w:rsid w:val="00675B4A"/>
    <w:rsid w:val="00675EAB"/>
    <w:rsid w:val="006768A5"/>
    <w:rsid w:val="006772D8"/>
    <w:rsid w:val="0067749A"/>
    <w:rsid w:val="00677605"/>
    <w:rsid w:val="00677ABB"/>
    <w:rsid w:val="0068110A"/>
    <w:rsid w:val="00681AAC"/>
    <w:rsid w:val="00681B31"/>
    <w:rsid w:val="00681F6D"/>
    <w:rsid w:val="00683484"/>
    <w:rsid w:val="00683C18"/>
    <w:rsid w:val="00683FCE"/>
    <w:rsid w:val="00684FFB"/>
    <w:rsid w:val="00685221"/>
    <w:rsid w:val="00685F22"/>
    <w:rsid w:val="00687721"/>
    <w:rsid w:val="0068774C"/>
    <w:rsid w:val="00687E53"/>
    <w:rsid w:val="006904AA"/>
    <w:rsid w:val="00692455"/>
    <w:rsid w:val="00692E4C"/>
    <w:rsid w:val="0069460E"/>
    <w:rsid w:val="00694802"/>
    <w:rsid w:val="00695167"/>
    <w:rsid w:val="00695CCA"/>
    <w:rsid w:val="00695DE6"/>
    <w:rsid w:val="006962D5"/>
    <w:rsid w:val="00696AC1"/>
    <w:rsid w:val="006A002A"/>
    <w:rsid w:val="006A06A0"/>
    <w:rsid w:val="006A2074"/>
    <w:rsid w:val="006A2525"/>
    <w:rsid w:val="006A30AA"/>
    <w:rsid w:val="006A354B"/>
    <w:rsid w:val="006A4A7E"/>
    <w:rsid w:val="006A5398"/>
    <w:rsid w:val="006A7BA0"/>
    <w:rsid w:val="006A7E9A"/>
    <w:rsid w:val="006B0369"/>
    <w:rsid w:val="006B052E"/>
    <w:rsid w:val="006B1B0C"/>
    <w:rsid w:val="006B2398"/>
    <w:rsid w:val="006B2742"/>
    <w:rsid w:val="006B3D93"/>
    <w:rsid w:val="006B4512"/>
    <w:rsid w:val="006B46DD"/>
    <w:rsid w:val="006B5879"/>
    <w:rsid w:val="006B676C"/>
    <w:rsid w:val="006B6F72"/>
    <w:rsid w:val="006B7596"/>
    <w:rsid w:val="006B7EBD"/>
    <w:rsid w:val="006C06B8"/>
    <w:rsid w:val="006C087A"/>
    <w:rsid w:val="006C18F6"/>
    <w:rsid w:val="006C37B9"/>
    <w:rsid w:val="006C3C6B"/>
    <w:rsid w:val="006C4C78"/>
    <w:rsid w:val="006C4D5D"/>
    <w:rsid w:val="006C4E7A"/>
    <w:rsid w:val="006C5E87"/>
    <w:rsid w:val="006C7A7A"/>
    <w:rsid w:val="006C7AF7"/>
    <w:rsid w:val="006D0D29"/>
    <w:rsid w:val="006D120F"/>
    <w:rsid w:val="006D1433"/>
    <w:rsid w:val="006D2526"/>
    <w:rsid w:val="006D31CC"/>
    <w:rsid w:val="006D426F"/>
    <w:rsid w:val="006D535C"/>
    <w:rsid w:val="006D5679"/>
    <w:rsid w:val="006D6B21"/>
    <w:rsid w:val="006E0692"/>
    <w:rsid w:val="006E0899"/>
    <w:rsid w:val="006E0D02"/>
    <w:rsid w:val="006E1045"/>
    <w:rsid w:val="006E18A0"/>
    <w:rsid w:val="006E2C0F"/>
    <w:rsid w:val="006E413E"/>
    <w:rsid w:val="006E4723"/>
    <w:rsid w:val="006E51AF"/>
    <w:rsid w:val="006E5E9E"/>
    <w:rsid w:val="006E6128"/>
    <w:rsid w:val="006E614B"/>
    <w:rsid w:val="006E67D8"/>
    <w:rsid w:val="006E6D8C"/>
    <w:rsid w:val="006F04C4"/>
    <w:rsid w:val="006F1B30"/>
    <w:rsid w:val="006F2185"/>
    <w:rsid w:val="006F2296"/>
    <w:rsid w:val="006F276F"/>
    <w:rsid w:val="006F2B63"/>
    <w:rsid w:val="006F4042"/>
    <w:rsid w:val="006F42A8"/>
    <w:rsid w:val="006F60FB"/>
    <w:rsid w:val="00700A9B"/>
    <w:rsid w:val="00701458"/>
    <w:rsid w:val="007015E8"/>
    <w:rsid w:val="00701969"/>
    <w:rsid w:val="007021F0"/>
    <w:rsid w:val="00703798"/>
    <w:rsid w:val="00704AF8"/>
    <w:rsid w:val="00705368"/>
    <w:rsid w:val="0070539E"/>
    <w:rsid w:val="00705684"/>
    <w:rsid w:val="00705C98"/>
    <w:rsid w:val="0070676B"/>
    <w:rsid w:val="00711513"/>
    <w:rsid w:val="007117B6"/>
    <w:rsid w:val="007119C5"/>
    <w:rsid w:val="00711E30"/>
    <w:rsid w:val="0071212E"/>
    <w:rsid w:val="007126FA"/>
    <w:rsid w:val="00712B9C"/>
    <w:rsid w:val="007132C9"/>
    <w:rsid w:val="007135AD"/>
    <w:rsid w:val="007147B0"/>
    <w:rsid w:val="00714CC9"/>
    <w:rsid w:val="00714E7B"/>
    <w:rsid w:val="00716421"/>
    <w:rsid w:val="00717704"/>
    <w:rsid w:val="00717876"/>
    <w:rsid w:val="007206F7"/>
    <w:rsid w:val="00720C30"/>
    <w:rsid w:val="0072102F"/>
    <w:rsid w:val="00721618"/>
    <w:rsid w:val="00721988"/>
    <w:rsid w:val="00722C5D"/>
    <w:rsid w:val="007232FC"/>
    <w:rsid w:val="00723620"/>
    <w:rsid w:val="00725ADF"/>
    <w:rsid w:val="00725D2E"/>
    <w:rsid w:val="007306FF"/>
    <w:rsid w:val="00730B13"/>
    <w:rsid w:val="00731114"/>
    <w:rsid w:val="00731768"/>
    <w:rsid w:val="00733680"/>
    <w:rsid w:val="00733D19"/>
    <w:rsid w:val="00733F78"/>
    <w:rsid w:val="00734949"/>
    <w:rsid w:val="00735139"/>
    <w:rsid w:val="0073584B"/>
    <w:rsid w:val="00736146"/>
    <w:rsid w:val="007361DE"/>
    <w:rsid w:val="0073634D"/>
    <w:rsid w:val="00736D98"/>
    <w:rsid w:val="00737062"/>
    <w:rsid w:val="007379B2"/>
    <w:rsid w:val="007410F1"/>
    <w:rsid w:val="0074144F"/>
    <w:rsid w:val="00741A00"/>
    <w:rsid w:val="00741DFF"/>
    <w:rsid w:val="00742BCD"/>
    <w:rsid w:val="00742F4A"/>
    <w:rsid w:val="00743AD8"/>
    <w:rsid w:val="00745572"/>
    <w:rsid w:val="0074598C"/>
    <w:rsid w:val="00745DCA"/>
    <w:rsid w:val="00746408"/>
    <w:rsid w:val="00750006"/>
    <w:rsid w:val="00750438"/>
    <w:rsid w:val="007516E6"/>
    <w:rsid w:val="007529C9"/>
    <w:rsid w:val="0075301A"/>
    <w:rsid w:val="00753C23"/>
    <w:rsid w:val="00753EC0"/>
    <w:rsid w:val="007543B0"/>
    <w:rsid w:val="0075474B"/>
    <w:rsid w:val="00754949"/>
    <w:rsid w:val="00754E26"/>
    <w:rsid w:val="00754F3A"/>
    <w:rsid w:val="00755546"/>
    <w:rsid w:val="00757727"/>
    <w:rsid w:val="007615A1"/>
    <w:rsid w:val="007615B5"/>
    <w:rsid w:val="007616E3"/>
    <w:rsid w:val="007619F7"/>
    <w:rsid w:val="007625F1"/>
    <w:rsid w:val="007639EC"/>
    <w:rsid w:val="00763ECC"/>
    <w:rsid w:val="00766849"/>
    <w:rsid w:val="00767058"/>
    <w:rsid w:val="007672B2"/>
    <w:rsid w:val="00770507"/>
    <w:rsid w:val="007705D4"/>
    <w:rsid w:val="00771058"/>
    <w:rsid w:val="00771AE6"/>
    <w:rsid w:val="00771F37"/>
    <w:rsid w:val="007745B0"/>
    <w:rsid w:val="0077573D"/>
    <w:rsid w:val="00775A50"/>
    <w:rsid w:val="00776F1F"/>
    <w:rsid w:val="007800E1"/>
    <w:rsid w:val="007807DA"/>
    <w:rsid w:val="00780CBF"/>
    <w:rsid w:val="00781A6B"/>
    <w:rsid w:val="00781E86"/>
    <w:rsid w:val="00782562"/>
    <w:rsid w:val="0078364E"/>
    <w:rsid w:val="00783AF7"/>
    <w:rsid w:val="007841D1"/>
    <w:rsid w:val="007844E3"/>
    <w:rsid w:val="007861D2"/>
    <w:rsid w:val="007867EA"/>
    <w:rsid w:val="007878E5"/>
    <w:rsid w:val="007879D4"/>
    <w:rsid w:val="00787CD9"/>
    <w:rsid w:val="007901DE"/>
    <w:rsid w:val="0079047A"/>
    <w:rsid w:val="00790964"/>
    <w:rsid w:val="0079208C"/>
    <w:rsid w:val="00792A0C"/>
    <w:rsid w:val="00793F8F"/>
    <w:rsid w:val="007940A1"/>
    <w:rsid w:val="0079443B"/>
    <w:rsid w:val="0079474E"/>
    <w:rsid w:val="00794D6C"/>
    <w:rsid w:val="0079666F"/>
    <w:rsid w:val="00796DA7"/>
    <w:rsid w:val="007974E8"/>
    <w:rsid w:val="007974ED"/>
    <w:rsid w:val="00797EBD"/>
    <w:rsid w:val="007A0C9C"/>
    <w:rsid w:val="007A265E"/>
    <w:rsid w:val="007A29D7"/>
    <w:rsid w:val="007A2F9F"/>
    <w:rsid w:val="007A3524"/>
    <w:rsid w:val="007A4FB8"/>
    <w:rsid w:val="007A5142"/>
    <w:rsid w:val="007A71A0"/>
    <w:rsid w:val="007B0DF3"/>
    <w:rsid w:val="007B12FA"/>
    <w:rsid w:val="007B1C16"/>
    <w:rsid w:val="007B1EF7"/>
    <w:rsid w:val="007B2039"/>
    <w:rsid w:val="007B240F"/>
    <w:rsid w:val="007B2DCE"/>
    <w:rsid w:val="007B2EB7"/>
    <w:rsid w:val="007B2F5A"/>
    <w:rsid w:val="007B31E5"/>
    <w:rsid w:val="007B425C"/>
    <w:rsid w:val="007B5117"/>
    <w:rsid w:val="007B5507"/>
    <w:rsid w:val="007B59B5"/>
    <w:rsid w:val="007B5CBD"/>
    <w:rsid w:val="007B6948"/>
    <w:rsid w:val="007C0A35"/>
    <w:rsid w:val="007C15EF"/>
    <w:rsid w:val="007C17B9"/>
    <w:rsid w:val="007C2E13"/>
    <w:rsid w:val="007C3AC2"/>
    <w:rsid w:val="007C3DCE"/>
    <w:rsid w:val="007C3E13"/>
    <w:rsid w:val="007C4749"/>
    <w:rsid w:val="007C5BC6"/>
    <w:rsid w:val="007C5EBC"/>
    <w:rsid w:val="007C6F81"/>
    <w:rsid w:val="007C7DA1"/>
    <w:rsid w:val="007D23D4"/>
    <w:rsid w:val="007D26ED"/>
    <w:rsid w:val="007D271B"/>
    <w:rsid w:val="007D2C08"/>
    <w:rsid w:val="007D2C1A"/>
    <w:rsid w:val="007D3280"/>
    <w:rsid w:val="007D3521"/>
    <w:rsid w:val="007D39DE"/>
    <w:rsid w:val="007D3EF3"/>
    <w:rsid w:val="007D3FDE"/>
    <w:rsid w:val="007D4037"/>
    <w:rsid w:val="007D434A"/>
    <w:rsid w:val="007D4F3C"/>
    <w:rsid w:val="007D54D3"/>
    <w:rsid w:val="007E0412"/>
    <w:rsid w:val="007E04E3"/>
    <w:rsid w:val="007E0E9A"/>
    <w:rsid w:val="007E0FF3"/>
    <w:rsid w:val="007E1140"/>
    <w:rsid w:val="007E2412"/>
    <w:rsid w:val="007E422F"/>
    <w:rsid w:val="007E4D60"/>
    <w:rsid w:val="007E5B7A"/>
    <w:rsid w:val="007E66BA"/>
    <w:rsid w:val="007E66C0"/>
    <w:rsid w:val="007E6985"/>
    <w:rsid w:val="007E752D"/>
    <w:rsid w:val="007F0092"/>
    <w:rsid w:val="007F08F0"/>
    <w:rsid w:val="007F0AEC"/>
    <w:rsid w:val="007F0F1B"/>
    <w:rsid w:val="007F187B"/>
    <w:rsid w:val="007F43C6"/>
    <w:rsid w:val="007F662A"/>
    <w:rsid w:val="007F69EE"/>
    <w:rsid w:val="00800587"/>
    <w:rsid w:val="008006C4"/>
    <w:rsid w:val="008013DD"/>
    <w:rsid w:val="0080376E"/>
    <w:rsid w:val="008052D9"/>
    <w:rsid w:val="00805D44"/>
    <w:rsid w:val="008062FD"/>
    <w:rsid w:val="0080663B"/>
    <w:rsid w:val="008067D7"/>
    <w:rsid w:val="0080684D"/>
    <w:rsid w:val="00806B15"/>
    <w:rsid w:val="00807A40"/>
    <w:rsid w:val="008103ED"/>
    <w:rsid w:val="0081269E"/>
    <w:rsid w:val="00813F7A"/>
    <w:rsid w:val="00814581"/>
    <w:rsid w:val="0081521E"/>
    <w:rsid w:val="008154E7"/>
    <w:rsid w:val="00815FB8"/>
    <w:rsid w:val="0081622D"/>
    <w:rsid w:val="00817001"/>
    <w:rsid w:val="0081714A"/>
    <w:rsid w:val="0082147E"/>
    <w:rsid w:val="00821870"/>
    <w:rsid w:val="0082222F"/>
    <w:rsid w:val="00822F3B"/>
    <w:rsid w:val="00824A0B"/>
    <w:rsid w:val="00824C2F"/>
    <w:rsid w:val="008250C8"/>
    <w:rsid w:val="00825F22"/>
    <w:rsid w:val="00826515"/>
    <w:rsid w:val="00826966"/>
    <w:rsid w:val="008270CB"/>
    <w:rsid w:val="00827F2F"/>
    <w:rsid w:val="0083041D"/>
    <w:rsid w:val="00830D16"/>
    <w:rsid w:val="00831385"/>
    <w:rsid w:val="008328F3"/>
    <w:rsid w:val="008330AD"/>
    <w:rsid w:val="00833430"/>
    <w:rsid w:val="0083583A"/>
    <w:rsid w:val="0083668B"/>
    <w:rsid w:val="00836698"/>
    <w:rsid w:val="00837174"/>
    <w:rsid w:val="00837526"/>
    <w:rsid w:val="008405A3"/>
    <w:rsid w:val="00841BF8"/>
    <w:rsid w:val="00841E09"/>
    <w:rsid w:val="008424E9"/>
    <w:rsid w:val="00846525"/>
    <w:rsid w:val="00846989"/>
    <w:rsid w:val="00847163"/>
    <w:rsid w:val="00847C4F"/>
    <w:rsid w:val="00850109"/>
    <w:rsid w:val="008514B7"/>
    <w:rsid w:val="00851E01"/>
    <w:rsid w:val="00852252"/>
    <w:rsid w:val="00852349"/>
    <w:rsid w:val="00855D05"/>
    <w:rsid w:val="00855EF0"/>
    <w:rsid w:val="00856B4B"/>
    <w:rsid w:val="00856CB8"/>
    <w:rsid w:val="008577E8"/>
    <w:rsid w:val="00857A66"/>
    <w:rsid w:val="00857AF9"/>
    <w:rsid w:val="00862415"/>
    <w:rsid w:val="0086371C"/>
    <w:rsid w:val="008640CB"/>
    <w:rsid w:val="00864313"/>
    <w:rsid w:val="008643CB"/>
    <w:rsid w:val="0086491E"/>
    <w:rsid w:val="00866299"/>
    <w:rsid w:val="00866594"/>
    <w:rsid w:val="00866D8D"/>
    <w:rsid w:val="00867F73"/>
    <w:rsid w:val="008709AF"/>
    <w:rsid w:val="008712C7"/>
    <w:rsid w:val="008718C1"/>
    <w:rsid w:val="00871C35"/>
    <w:rsid w:val="008727D9"/>
    <w:rsid w:val="00872C17"/>
    <w:rsid w:val="008732D0"/>
    <w:rsid w:val="00875CE1"/>
    <w:rsid w:val="00875E0C"/>
    <w:rsid w:val="00876308"/>
    <w:rsid w:val="00876326"/>
    <w:rsid w:val="008767BD"/>
    <w:rsid w:val="008771E1"/>
    <w:rsid w:val="0087787E"/>
    <w:rsid w:val="00877B8A"/>
    <w:rsid w:val="00877DE7"/>
    <w:rsid w:val="008813B8"/>
    <w:rsid w:val="00881D34"/>
    <w:rsid w:val="00881EC6"/>
    <w:rsid w:val="00882FDB"/>
    <w:rsid w:val="0088359B"/>
    <w:rsid w:val="00884658"/>
    <w:rsid w:val="00885358"/>
    <w:rsid w:val="00885557"/>
    <w:rsid w:val="0088567A"/>
    <w:rsid w:val="00886C93"/>
    <w:rsid w:val="00886FD9"/>
    <w:rsid w:val="00887ED7"/>
    <w:rsid w:val="00890527"/>
    <w:rsid w:val="00891A15"/>
    <w:rsid w:val="008923E3"/>
    <w:rsid w:val="00892490"/>
    <w:rsid w:val="00893E54"/>
    <w:rsid w:val="008942DA"/>
    <w:rsid w:val="0089434C"/>
    <w:rsid w:val="008954DE"/>
    <w:rsid w:val="00895E98"/>
    <w:rsid w:val="0089649A"/>
    <w:rsid w:val="00897087"/>
    <w:rsid w:val="008A0F4D"/>
    <w:rsid w:val="008A3379"/>
    <w:rsid w:val="008A3505"/>
    <w:rsid w:val="008A4ECC"/>
    <w:rsid w:val="008A590D"/>
    <w:rsid w:val="008A5DC4"/>
    <w:rsid w:val="008B1214"/>
    <w:rsid w:val="008B12F1"/>
    <w:rsid w:val="008B1F8D"/>
    <w:rsid w:val="008B2057"/>
    <w:rsid w:val="008B2F4E"/>
    <w:rsid w:val="008B3B8A"/>
    <w:rsid w:val="008B4F09"/>
    <w:rsid w:val="008B56D5"/>
    <w:rsid w:val="008B57CF"/>
    <w:rsid w:val="008B581B"/>
    <w:rsid w:val="008B6288"/>
    <w:rsid w:val="008B6502"/>
    <w:rsid w:val="008B7967"/>
    <w:rsid w:val="008C02D9"/>
    <w:rsid w:val="008C0B81"/>
    <w:rsid w:val="008C16C7"/>
    <w:rsid w:val="008C331C"/>
    <w:rsid w:val="008C39A6"/>
    <w:rsid w:val="008C3F3E"/>
    <w:rsid w:val="008C5020"/>
    <w:rsid w:val="008C7592"/>
    <w:rsid w:val="008C759A"/>
    <w:rsid w:val="008C7619"/>
    <w:rsid w:val="008D01C7"/>
    <w:rsid w:val="008D1096"/>
    <w:rsid w:val="008D10D2"/>
    <w:rsid w:val="008D199B"/>
    <w:rsid w:val="008D488F"/>
    <w:rsid w:val="008D6D99"/>
    <w:rsid w:val="008E06CD"/>
    <w:rsid w:val="008E193A"/>
    <w:rsid w:val="008E2397"/>
    <w:rsid w:val="008E23C5"/>
    <w:rsid w:val="008E257C"/>
    <w:rsid w:val="008E2DAA"/>
    <w:rsid w:val="008E3B1F"/>
    <w:rsid w:val="008E5ED2"/>
    <w:rsid w:val="008E6C75"/>
    <w:rsid w:val="008F020E"/>
    <w:rsid w:val="008F07E0"/>
    <w:rsid w:val="008F09F6"/>
    <w:rsid w:val="008F1814"/>
    <w:rsid w:val="008F1CC1"/>
    <w:rsid w:val="008F1F0B"/>
    <w:rsid w:val="008F21A3"/>
    <w:rsid w:val="008F222C"/>
    <w:rsid w:val="008F24AE"/>
    <w:rsid w:val="008F2A30"/>
    <w:rsid w:val="008F3569"/>
    <w:rsid w:val="008F372B"/>
    <w:rsid w:val="008F479F"/>
    <w:rsid w:val="008F4B99"/>
    <w:rsid w:val="008F4CAF"/>
    <w:rsid w:val="008F5488"/>
    <w:rsid w:val="008F637D"/>
    <w:rsid w:val="008F6AD7"/>
    <w:rsid w:val="009002D9"/>
    <w:rsid w:val="00902BEA"/>
    <w:rsid w:val="009036AB"/>
    <w:rsid w:val="00903934"/>
    <w:rsid w:val="00904893"/>
    <w:rsid w:val="00904D26"/>
    <w:rsid w:val="00905F0E"/>
    <w:rsid w:val="00906149"/>
    <w:rsid w:val="00906870"/>
    <w:rsid w:val="00907554"/>
    <w:rsid w:val="00910683"/>
    <w:rsid w:val="00910834"/>
    <w:rsid w:val="009115A8"/>
    <w:rsid w:val="00912993"/>
    <w:rsid w:val="00913438"/>
    <w:rsid w:val="00914032"/>
    <w:rsid w:val="00916AEB"/>
    <w:rsid w:val="00917A3D"/>
    <w:rsid w:val="009209F9"/>
    <w:rsid w:val="00920C8E"/>
    <w:rsid w:val="00921C85"/>
    <w:rsid w:val="0092248A"/>
    <w:rsid w:val="00922B84"/>
    <w:rsid w:val="00922DC6"/>
    <w:rsid w:val="00923776"/>
    <w:rsid w:val="00923C3E"/>
    <w:rsid w:val="0092428C"/>
    <w:rsid w:val="009243F0"/>
    <w:rsid w:val="009246D2"/>
    <w:rsid w:val="00924D0A"/>
    <w:rsid w:val="00925CEF"/>
    <w:rsid w:val="00925E15"/>
    <w:rsid w:val="0092681A"/>
    <w:rsid w:val="00927D0A"/>
    <w:rsid w:val="00933D46"/>
    <w:rsid w:val="00933D56"/>
    <w:rsid w:val="009342D6"/>
    <w:rsid w:val="00934FAF"/>
    <w:rsid w:val="00935AC5"/>
    <w:rsid w:val="009360B7"/>
    <w:rsid w:val="009360BC"/>
    <w:rsid w:val="00936E45"/>
    <w:rsid w:val="00937042"/>
    <w:rsid w:val="009373D2"/>
    <w:rsid w:val="00940E55"/>
    <w:rsid w:val="009413C3"/>
    <w:rsid w:val="009418C9"/>
    <w:rsid w:val="009426D1"/>
    <w:rsid w:val="00942E8E"/>
    <w:rsid w:val="0094442B"/>
    <w:rsid w:val="009451E6"/>
    <w:rsid w:val="00945831"/>
    <w:rsid w:val="0094662E"/>
    <w:rsid w:val="00946716"/>
    <w:rsid w:val="009501F1"/>
    <w:rsid w:val="00951A22"/>
    <w:rsid w:val="00951D1A"/>
    <w:rsid w:val="00952596"/>
    <w:rsid w:val="009529A8"/>
    <w:rsid w:val="00953368"/>
    <w:rsid w:val="00955D84"/>
    <w:rsid w:val="00955DA9"/>
    <w:rsid w:val="009566BD"/>
    <w:rsid w:val="00956796"/>
    <w:rsid w:val="00960091"/>
    <w:rsid w:val="009601F2"/>
    <w:rsid w:val="00960C52"/>
    <w:rsid w:val="00962320"/>
    <w:rsid w:val="00962605"/>
    <w:rsid w:val="009640B7"/>
    <w:rsid w:val="00964B3A"/>
    <w:rsid w:val="00964E5C"/>
    <w:rsid w:val="00964FCF"/>
    <w:rsid w:val="00965708"/>
    <w:rsid w:val="00966519"/>
    <w:rsid w:val="009675EA"/>
    <w:rsid w:val="00967D02"/>
    <w:rsid w:val="00967D92"/>
    <w:rsid w:val="00970131"/>
    <w:rsid w:val="009712A5"/>
    <w:rsid w:val="009715E0"/>
    <w:rsid w:val="009715FC"/>
    <w:rsid w:val="00971D54"/>
    <w:rsid w:val="00972C4C"/>
    <w:rsid w:val="009732CB"/>
    <w:rsid w:val="009734BE"/>
    <w:rsid w:val="00975688"/>
    <w:rsid w:val="0097573B"/>
    <w:rsid w:val="00975B15"/>
    <w:rsid w:val="0097770E"/>
    <w:rsid w:val="009778E9"/>
    <w:rsid w:val="00980059"/>
    <w:rsid w:val="00980599"/>
    <w:rsid w:val="0098088A"/>
    <w:rsid w:val="00980B38"/>
    <w:rsid w:val="00980DCB"/>
    <w:rsid w:val="009830F0"/>
    <w:rsid w:val="00983BC8"/>
    <w:rsid w:val="00983DA7"/>
    <w:rsid w:val="00983F94"/>
    <w:rsid w:val="00984AC5"/>
    <w:rsid w:val="0098556C"/>
    <w:rsid w:val="0098641B"/>
    <w:rsid w:val="009864C0"/>
    <w:rsid w:val="009868DE"/>
    <w:rsid w:val="00987EC6"/>
    <w:rsid w:val="00990BD6"/>
    <w:rsid w:val="00991052"/>
    <w:rsid w:val="00992275"/>
    <w:rsid w:val="0099248D"/>
    <w:rsid w:val="00992B5A"/>
    <w:rsid w:val="00992C66"/>
    <w:rsid w:val="0099312F"/>
    <w:rsid w:val="009943D8"/>
    <w:rsid w:val="0099466C"/>
    <w:rsid w:val="009951FD"/>
    <w:rsid w:val="0099599C"/>
    <w:rsid w:val="00997175"/>
    <w:rsid w:val="00997F94"/>
    <w:rsid w:val="009A0866"/>
    <w:rsid w:val="009A1F2A"/>
    <w:rsid w:val="009A2CE5"/>
    <w:rsid w:val="009A3193"/>
    <w:rsid w:val="009A3AAB"/>
    <w:rsid w:val="009A4A1F"/>
    <w:rsid w:val="009A5CCB"/>
    <w:rsid w:val="009A5D7E"/>
    <w:rsid w:val="009A7A9A"/>
    <w:rsid w:val="009A7CA3"/>
    <w:rsid w:val="009B0116"/>
    <w:rsid w:val="009B1FE0"/>
    <w:rsid w:val="009B223B"/>
    <w:rsid w:val="009B2341"/>
    <w:rsid w:val="009B2654"/>
    <w:rsid w:val="009B3D1B"/>
    <w:rsid w:val="009B53EC"/>
    <w:rsid w:val="009B5495"/>
    <w:rsid w:val="009B5DDE"/>
    <w:rsid w:val="009B63DA"/>
    <w:rsid w:val="009B648C"/>
    <w:rsid w:val="009B6515"/>
    <w:rsid w:val="009B7F3B"/>
    <w:rsid w:val="009C0201"/>
    <w:rsid w:val="009C04F6"/>
    <w:rsid w:val="009C0C10"/>
    <w:rsid w:val="009C1457"/>
    <w:rsid w:val="009C392D"/>
    <w:rsid w:val="009C3C5D"/>
    <w:rsid w:val="009C44F0"/>
    <w:rsid w:val="009C524D"/>
    <w:rsid w:val="009C6DFE"/>
    <w:rsid w:val="009C7312"/>
    <w:rsid w:val="009C7AA6"/>
    <w:rsid w:val="009D0B63"/>
    <w:rsid w:val="009D1DCF"/>
    <w:rsid w:val="009D2684"/>
    <w:rsid w:val="009D2DA3"/>
    <w:rsid w:val="009D399A"/>
    <w:rsid w:val="009D4468"/>
    <w:rsid w:val="009D4DAB"/>
    <w:rsid w:val="009D5795"/>
    <w:rsid w:val="009D57E7"/>
    <w:rsid w:val="009D5A46"/>
    <w:rsid w:val="009D5BEB"/>
    <w:rsid w:val="009D68A3"/>
    <w:rsid w:val="009D6922"/>
    <w:rsid w:val="009D699B"/>
    <w:rsid w:val="009D69C4"/>
    <w:rsid w:val="009D75C0"/>
    <w:rsid w:val="009D7CA9"/>
    <w:rsid w:val="009E01F2"/>
    <w:rsid w:val="009E0A3E"/>
    <w:rsid w:val="009E0FFF"/>
    <w:rsid w:val="009E1429"/>
    <w:rsid w:val="009E34A0"/>
    <w:rsid w:val="009E3636"/>
    <w:rsid w:val="009E489F"/>
    <w:rsid w:val="009E64BA"/>
    <w:rsid w:val="009F0860"/>
    <w:rsid w:val="009F1475"/>
    <w:rsid w:val="009F1C4A"/>
    <w:rsid w:val="009F2277"/>
    <w:rsid w:val="009F2AB6"/>
    <w:rsid w:val="009F3451"/>
    <w:rsid w:val="009F5046"/>
    <w:rsid w:val="009F5A95"/>
    <w:rsid w:val="009F5D98"/>
    <w:rsid w:val="009F671A"/>
    <w:rsid w:val="009F6AB4"/>
    <w:rsid w:val="009F6AB7"/>
    <w:rsid w:val="00A009E5"/>
    <w:rsid w:val="00A0106E"/>
    <w:rsid w:val="00A01988"/>
    <w:rsid w:val="00A02210"/>
    <w:rsid w:val="00A022B7"/>
    <w:rsid w:val="00A02324"/>
    <w:rsid w:val="00A029DA"/>
    <w:rsid w:val="00A02F22"/>
    <w:rsid w:val="00A03105"/>
    <w:rsid w:val="00A037F6"/>
    <w:rsid w:val="00A03915"/>
    <w:rsid w:val="00A04532"/>
    <w:rsid w:val="00A0499D"/>
    <w:rsid w:val="00A0517B"/>
    <w:rsid w:val="00A05550"/>
    <w:rsid w:val="00A05579"/>
    <w:rsid w:val="00A055A9"/>
    <w:rsid w:val="00A06056"/>
    <w:rsid w:val="00A062FF"/>
    <w:rsid w:val="00A06E8A"/>
    <w:rsid w:val="00A06FD6"/>
    <w:rsid w:val="00A070F6"/>
    <w:rsid w:val="00A0747A"/>
    <w:rsid w:val="00A07490"/>
    <w:rsid w:val="00A077BC"/>
    <w:rsid w:val="00A10728"/>
    <w:rsid w:val="00A120A2"/>
    <w:rsid w:val="00A13093"/>
    <w:rsid w:val="00A1344E"/>
    <w:rsid w:val="00A1357D"/>
    <w:rsid w:val="00A142FF"/>
    <w:rsid w:val="00A14406"/>
    <w:rsid w:val="00A15550"/>
    <w:rsid w:val="00A155BD"/>
    <w:rsid w:val="00A179A6"/>
    <w:rsid w:val="00A2077E"/>
    <w:rsid w:val="00A209F2"/>
    <w:rsid w:val="00A210D8"/>
    <w:rsid w:val="00A210F3"/>
    <w:rsid w:val="00A218FA"/>
    <w:rsid w:val="00A21C76"/>
    <w:rsid w:val="00A22603"/>
    <w:rsid w:val="00A23684"/>
    <w:rsid w:val="00A2383C"/>
    <w:rsid w:val="00A23BE7"/>
    <w:rsid w:val="00A23EE5"/>
    <w:rsid w:val="00A26118"/>
    <w:rsid w:val="00A26603"/>
    <w:rsid w:val="00A2670C"/>
    <w:rsid w:val="00A26A52"/>
    <w:rsid w:val="00A31530"/>
    <w:rsid w:val="00A31D75"/>
    <w:rsid w:val="00A337B5"/>
    <w:rsid w:val="00A3402B"/>
    <w:rsid w:val="00A343D1"/>
    <w:rsid w:val="00A347A3"/>
    <w:rsid w:val="00A34CCE"/>
    <w:rsid w:val="00A36493"/>
    <w:rsid w:val="00A36DE0"/>
    <w:rsid w:val="00A36E54"/>
    <w:rsid w:val="00A37E92"/>
    <w:rsid w:val="00A400DF"/>
    <w:rsid w:val="00A41115"/>
    <w:rsid w:val="00A4166A"/>
    <w:rsid w:val="00A41D0A"/>
    <w:rsid w:val="00A42D24"/>
    <w:rsid w:val="00A42F9C"/>
    <w:rsid w:val="00A43ED7"/>
    <w:rsid w:val="00A4412A"/>
    <w:rsid w:val="00A4507F"/>
    <w:rsid w:val="00A45188"/>
    <w:rsid w:val="00A46029"/>
    <w:rsid w:val="00A461C1"/>
    <w:rsid w:val="00A4626E"/>
    <w:rsid w:val="00A46E74"/>
    <w:rsid w:val="00A4734C"/>
    <w:rsid w:val="00A47758"/>
    <w:rsid w:val="00A47C77"/>
    <w:rsid w:val="00A50EF2"/>
    <w:rsid w:val="00A514BD"/>
    <w:rsid w:val="00A516AB"/>
    <w:rsid w:val="00A52459"/>
    <w:rsid w:val="00A52AE8"/>
    <w:rsid w:val="00A5358E"/>
    <w:rsid w:val="00A5409F"/>
    <w:rsid w:val="00A55007"/>
    <w:rsid w:val="00A55490"/>
    <w:rsid w:val="00A554BC"/>
    <w:rsid w:val="00A554D9"/>
    <w:rsid w:val="00A55F0C"/>
    <w:rsid w:val="00A56412"/>
    <w:rsid w:val="00A56657"/>
    <w:rsid w:val="00A57073"/>
    <w:rsid w:val="00A60788"/>
    <w:rsid w:val="00A60EBF"/>
    <w:rsid w:val="00A61E65"/>
    <w:rsid w:val="00A63058"/>
    <w:rsid w:val="00A631F9"/>
    <w:rsid w:val="00A645E9"/>
    <w:rsid w:val="00A646D1"/>
    <w:rsid w:val="00A6474C"/>
    <w:rsid w:val="00A649B2"/>
    <w:rsid w:val="00A65D5B"/>
    <w:rsid w:val="00A673E0"/>
    <w:rsid w:val="00A67A25"/>
    <w:rsid w:val="00A7087C"/>
    <w:rsid w:val="00A711AF"/>
    <w:rsid w:val="00A7144E"/>
    <w:rsid w:val="00A71CF6"/>
    <w:rsid w:val="00A73196"/>
    <w:rsid w:val="00A74298"/>
    <w:rsid w:val="00A74790"/>
    <w:rsid w:val="00A74F90"/>
    <w:rsid w:val="00A7516F"/>
    <w:rsid w:val="00A76DA4"/>
    <w:rsid w:val="00A779A3"/>
    <w:rsid w:val="00A77B1C"/>
    <w:rsid w:val="00A809D9"/>
    <w:rsid w:val="00A816D0"/>
    <w:rsid w:val="00A81944"/>
    <w:rsid w:val="00A854F9"/>
    <w:rsid w:val="00A8606B"/>
    <w:rsid w:val="00A86B71"/>
    <w:rsid w:val="00A87046"/>
    <w:rsid w:val="00A8757B"/>
    <w:rsid w:val="00A87EED"/>
    <w:rsid w:val="00A91B8D"/>
    <w:rsid w:val="00A91C68"/>
    <w:rsid w:val="00A91EBB"/>
    <w:rsid w:val="00A920D3"/>
    <w:rsid w:val="00A92B2F"/>
    <w:rsid w:val="00A943DC"/>
    <w:rsid w:val="00A95024"/>
    <w:rsid w:val="00A958D0"/>
    <w:rsid w:val="00A96A09"/>
    <w:rsid w:val="00A96BAA"/>
    <w:rsid w:val="00A96C97"/>
    <w:rsid w:val="00AA12F1"/>
    <w:rsid w:val="00AA2B4D"/>
    <w:rsid w:val="00AA2BA4"/>
    <w:rsid w:val="00AA2F38"/>
    <w:rsid w:val="00AA331B"/>
    <w:rsid w:val="00AA530C"/>
    <w:rsid w:val="00AA58D7"/>
    <w:rsid w:val="00AA6693"/>
    <w:rsid w:val="00AA7C9A"/>
    <w:rsid w:val="00AA7CC4"/>
    <w:rsid w:val="00AA7E63"/>
    <w:rsid w:val="00AB0D5D"/>
    <w:rsid w:val="00AB1B50"/>
    <w:rsid w:val="00AB1E3D"/>
    <w:rsid w:val="00AB232B"/>
    <w:rsid w:val="00AB33CE"/>
    <w:rsid w:val="00AB3776"/>
    <w:rsid w:val="00AB4B89"/>
    <w:rsid w:val="00AB4C9F"/>
    <w:rsid w:val="00AB4EE0"/>
    <w:rsid w:val="00AB50BC"/>
    <w:rsid w:val="00AB7F38"/>
    <w:rsid w:val="00AC040C"/>
    <w:rsid w:val="00AC259E"/>
    <w:rsid w:val="00AC553D"/>
    <w:rsid w:val="00AC55A6"/>
    <w:rsid w:val="00AC6B54"/>
    <w:rsid w:val="00AC6B57"/>
    <w:rsid w:val="00AC6CE0"/>
    <w:rsid w:val="00AD05BB"/>
    <w:rsid w:val="00AD0C66"/>
    <w:rsid w:val="00AD17DC"/>
    <w:rsid w:val="00AD1B5E"/>
    <w:rsid w:val="00AD244E"/>
    <w:rsid w:val="00AD274F"/>
    <w:rsid w:val="00AD2E1A"/>
    <w:rsid w:val="00AD2E8B"/>
    <w:rsid w:val="00AD30B7"/>
    <w:rsid w:val="00AD4E34"/>
    <w:rsid w:val="00AD6C4F"/>
    <w:rsid w:val="00AE078D"/>
    <w:rsid w:val="00AE1202"/>
    <w:rsid w:val="00AE1CBF"/>
    <w:rsid w:val="00AE1E31"/>
    <w:rsid w:val="00AE3465"/>
    <w:rsid w:val="00AE6017"/>
    <w:rsid w:val="00AE6287"/>
    <w:rsid w:val="00AE65D0"/>
    <w:rsid w:val="00AE75DA"/>
    <w:rsid w:val="00AE7B46"/>
    <w:rsid w:val="00AE7F1D"/>
    <w:rsid w:val="00AF1327"/>
    <w:rsid w:val="00AF1DE3"/>
    <w:rsid w:val="00AF245E"/>
    <w:rsid w:val="00AF2666"/>
    <w:rsid w:val="00AF3308"/>
    <w:rsid w:val="00AF3BBC"/>
    <w:rsid w:val="00AF46DB"/>
    <w:rsid w:val="00AF4B48"/>
    <w:rsid w:val="00AF576B"/>
    <w:rsid w:val="00AF67D0"/>
    <w:rsid w:val="00AF6A26"/>
    <w:rsid w:val="00AF6DF4"/>
    <w:rsid w:val="00AF779C"/>
    <w:rsid w:val="00B00099"/>
    <w:rsid w:val="00B01179"/>
    <w:rsid w:val="00B01ACA"/>
    <w:rsid w:val="00B01B9F"/>
    <w:rsid w:val="00B01EB8"/>
    <w:rsid w:val="00B02814"/>
    <w:rsid w:val="00B04DFA"/>
    <w:rsid w:val="00B04FDB"/>
    <w:rsid w:val="00B07579"/>
    <w:rsid w:val="00B07B15"/>
    <w:rsid w:val="00B07BA0"/>
    <w:rsid w:val="00B1083A"/>
    <w:rsid w:val="00B11856"/>
    <w:rsid w:val="00B119A4"/>
    <w:rsid w:val="00B1230A"/>
    <w:rsid w:val="00B12992"/>
    <w:rsid w:val="00B12F02"/>
    <w:rsid w:val="00B13B42"/>
    <w:rsid w:val="00B13E36"/>
    <w:rsid w:val="00B1425C"/>
    <w:rsid w:val="00B1458B"/>
    <w:rsid w:val="00B147B5"/>
    <w:rsid w:val="00B14BB5"/>
    <w:rsid w:val="00B15318"/>
    <w:rsid w:val="00B157E9"/>
    <w:rsid w:val="00B15B87"/>
    <w:rsid w:val="00B16A42"/>
    <w:rsid w:val="00B17101"/>
    <w:rsid w:val="00B20167"/>
    <w:rsid w:val="00B208BA"/>
    <w:rsid w:val="00B20E0B"/>
    <w:rsid w:val="00B20F75"/>
    <w:rsid w:val="00B21081"/>
    <w:rsid w:val="00B221DC"/>
    <w:rsid w:val="00B22384"/>
    <w:rsid w:val="00B23F96"/>
    <w:rsid w:val="00B248D7"/>
    <w:rsid w:val="00B26E38"/>
    <w:rsid w:val="00B27928"/>
    <w:rsid w:val="00B303A7"/>
    <w:rsid w:val="00B308AD"/>
    <w:rsid w:val="00B3185E"/>
    <w:rsid w:val="00B31C8D"/>
    <w:rsid w:val="00B320AB"/>
    <w:rsid w:val="00B3226F"/>
    <w:rsid w:val="00B32CBB"/>
    <w:rsid w:val="00B34D3C"/>
    <w:rsid w:val="00B35934"/>
    <w:rsid w:val="00B372BE"/>
    <w:rsid w:val="00B37D90"/>
    <w:rsid w:val="00B37F9B"/>
    <w:rsid w:val="00B40F73"/>
    <w:rsid w:val="00B41F2F"/>
    <w:rsid w:val="00B429F8"/>
    <w:rsid w:val="00B42A18"/>
    <w:rsid w:val="00B43027"/>
    <w:rsid w:val="00B4305A"/>
    <w:rsid w:val="00B43E13"/>
    <w:rsid w:val="00B449F0"/>
    <w:rsid w:val="00B450CD"/>
    <w:rsid w:val="00B45EE8"/>
    <w:rsid w:val="00B468DD"/>
    <w:rsid w:val="00B510CC"/>
    <w:rsid w:val="00B515FD"/>
    <w:rsid w:val="00B52A26"/>
    <w:rsid w:val="00B53C29"/>
    <w:rsid w:val="00B53FAC"/>
    <w:rsid w:val="00B54032"/>
    <w:rsid w:val="00B54960"/>
    <w:rsid w:val="00B556B4"/>
    <w:rsid w:val="00B5650E"/>
    <w:rsid w:val="00B57753"/>
    <w:rsid w:val="00B607F4"/>
    <w:rsid w:val="00B6097C"/>
    <w:rsid w:val="00B610C5"/>
    <w:rsid w:val="00B61F85"/>
    <w:rsid w:val="00B62837"/>
    <w:rsid w:val="00B641E3"/>
    <w:rsid w:val="00B64681"/>
    <w:rsid w:val="00B655F3"/>
    <w:rsid w:val="00B65DE7"/>
    <w:rsid w:val="00B65F54"/>
    <w:rsid w:val="00B6726D"/>
    <w:rsid w:val="00B70847"/>
    <w:rsid w:val="00B70DA3"/>
    <w:rsid w:val="00B71327"/>
    <w:rsid w:val="00B729C9"/>
    <w:rsid w:val="00B729E5"/>
    <w:rsid w:val="00B72E5A"/>
    <w:rsid w:val="00B741C7"/>
    <w:rsid w:val="00B74C37"/>
    <w:rsid w:val="00B75135"/>
    <w:rsid w:val="00B76881"/>
    <w:rsid w:val="00B76BCF"/>
    <w:rsid w:val="00B76E2F"/>
    <w:rsid w:val="00B774C1"/>
    <w:rsid w:val="00B80861"/>
    <w:rsid w:val="00B81AA6"/>
    <w:rsid w:val="00B81F49"/>
    <w:rsid w:val="00B81F4A"/>
    <w:rsid w:val="00B82735"/>
    <w:rsid w:val="00B82AB8"/>
    <w:rsid w:val="00B82B6D"/>
    <w:rsid w:val="00B83366"/>
    <w:rsid w:val="00B84D47"/>
    <w:rsid w:val="00B84E9D"/>
    <w:rsid w:val="00B855C8"/>
    <w:rsid w:val="00B8668D"/>
    <w:rsid w:val="00B91750"/>
    <w:rsid w:val="00B918EC"/>
    <w:rsid w:val="00B924C7"/>
    <w:rsid w:val="00B93392"/>
    <w:rsid w:val="00B93DBA"/>
    <w:rsid w:val="00B948E5"/>
    <w:rsid w:val="00B9706D"/>
    <w:rsid w:val="00BA0470"/>
    <w:rsid w:val="00BA0C13"/>
    <w:rsid w:val="00BA1AB6"/>
    <w:rsid w:val="00BA208F"/>
    <w:rsid w:val="00BA336D"/>
    <w:rsid w:val="00BA4236"/>
    <w:rsid w:val="00BA4B62"/>
    <w:rsid w:val="00BA4C38"/>
    <w:rsid w:val="00BA50D1"/>
    <w:rsid w:val="00BA60F9"/>
    <w:rsid w:val="00BA648B"/>
    <w:rsid w:val="00BA66B0"/>
    <w:rsid w:val="00BA6F6C"/>
    <w:rsid w:val="00BA7208"/>
    <w:rsid w:val="00BA7F8C"/>
    <w:rsid w:val="00BB03C9"/>
    <w:rsid w:val="00BB16E3"/>
    <w:rsid w:val="00BB1896"/>
    <w:rsid w:val="00BB1A22"/>
    <w:rsid w:val="00BB2399"/>
    <w:rsid w:val="00BB3128"/>
    <w:rsid w:val="00BB3B04"/>
    <w:rsid w:val="00BB4AF9"/>
    <w:rsid w:val="00BB5682"/>
    <w:rsid w:val="00BB70EE"/>
    <w:rsid w:val="00BB745B"/>
    <w:rsid w:val="00BB7BE3"/>
    <w:rsid w:val="00BC083F"/>
    <w:rsid w:val="00BC21CF"/>
    <w:rsid w:val="00BC3DE6"/>
    <w:rsid w:val="00BC45D7"/>
    <w:rsid w:val="00BC6091"/>
    <w:rsid w:val="00BC77C3"/>
    <w:rsid w:val="00BC7989"/>
    <w:rsid w:val="00BD09DF"/>
    <w:rsid w:val="00BD17E0"/>
    <w:rsid w:val="00BD3F2D"/>
    <w:rsid w:val="00BD5B25"/>
    <w:rsid w:val="00BD6C36"/>
    <w:rsid w:val="00BD6DA8"/>
    <w:rsid w:val="00BD7536"/>
    <w:rsid w:val="00BD7BDF"/>
    <w:rsid w:val="00BE1DE3"/>
    <w:rsid w:val="00BE1F82"/>
    <w:rsid w:val="00BE26D7"/>
    <w:rsid w:val="00BE3715"/>
    <w:rsid w:val="00BE4A2C"/>
    <w:rsid w:val="00BE62A9"/>
    <w:rsid w:val="00BE65CF"/>
    <w:rsid w:val="00BE6D9D"/>
    <w:rsid w:val="00BE799A"/>
    <w:rsid w:val="00BF0A05"/>
    <w:rsid w:val="00BF117B"/>
    <w:rsid w:val="00BF16EE"/>
    <w:rsid w:val="00BF1868"/>
    <w:rsid w:val="00BF2E6F"/>
    <w:rsid w:val="00BF34C6"/>
    <w:rsid w:val="00BF3AB9"/>
    <w:rsid w:val="00BF418D"/>
    <w:rsid w:val="00BF41CB"/>
    <w:rsid w:val="00BF4BA8"/>
    <w:rsid w:val="00BF6215"/>
    <w:rsid w:val="00BF648D"/>
    <w:rsid w:val="00BF7011"/>
    <w:rsid w:val="00BF7840"/>
    <w:rsid w:val="00BF7AEB"/>
    <w:rsid w:val="00BF7EF6"/>
    <w:rsid w:val="00C00291"/>
    <w:rsid w:val="00C00F08"/>
    <w:rsid w:val="00C01B7C"/>
    <w:rsid w:val="00C01D7C"/>
    <w:rsid w:val="00C02400"/>
    <w:rsid w:val="00C0450C"/>
    <w:rsid w:val="00C04AB4"/>
    <w:rsid w:val="00C06CBB"/>
    <w:rsid w:val="00C10764"/>
    <w:rsid w:val="00C110D0"/>
    <w:rsid w:val="00C116BD"/>
    <w:rsid w:val="00C127B9"/>
    <w:rsid w:val="00C12B64"/>
    <w:rsid w:val="00C13390"/>
    <w:rsid w:val="00C14E83"/>
    <w:rsid w:val="00C15655"/>
    <w:rsid w:val="00C15A6A"/>
    <w:rsid w:val="00C15D44"/>
    <w:rsid w:val="00C17236"/>
    <w:rsid w:val="00C17FCF"/>
    <w:rsid w:val="00C21255"/>
    <w:rsid w:val="00C24FA9"/>
    <w:rsid w:val="00C2538B"/>
    <w:rsid w:val="00C2671B"/>
    <w:rsid w:val="00C305D8"/>
    <w:rsid w:val="00C32599"/>
    <w:rsid w:val="00C32DA9"/>
    <w:rsid w:val="00C3345F"/>
    <w:rsid w:val="00C34633"/>
    <w:rsid w:val="00C35295"/>
    <w:rsid w:val="00C36091"/>
    <w:rsid w:val="00C3633A"/>
    <w:rsid w:val="00C367D6"/>
    <w:rsid w:val="00C368C8"/>
    <w:rsid w:val="00C37109"/>
    <w:rsid w:val="00C37FD3"/>
    <w:rsid w:val="00C404FE"/>
    <w:rsid w:val="00C40CEC"/>
    <w:rsid w:val="00C40EAB"/>
    <w:rsid w:val="00C42B14"/>
    <w:rsid w:val="00C42B37"/>
    <w:rsid w:val="00C45035"/>
    <w:rsid w:val="00C46560"/>
    <w:rsid w:val="00C47980"/>
    <w:rsid w:val="00C503A2"/>
    <w:rsid w:val="00C53780"/>
    <w:rsid w:val="00C5383B"/>
    <w:rsid w:val="00C546E2"/>
    <w:rsid w:val="00C54748"/>
    <w:rsid w:val="00C54BD7"/>
    <w:rsid w:val="00C553A6"/>
    <w:rsid w:val="00C559CC"/>
    <w:rsid w:val="00C55D6B"/>
    <w:rsid w:val="00C55EDE"/>
    <w:rsid w:val="00C56855"/>
    <w:rsid w:val="00C57CF9"/>
    <w:rsid w:val="00C604EB"/>
    <w:rsid w:val="00C605F5"/>
    <w:rsid w:val="00C60ABD"/>
    <w:rsid w:val="00C61231"/>
    <w:rsid w:val="00C612A0"/>
    <w:rsid w:val="00C61DCA"/>
    <w:rsid w:val="00C6280C"/>
    <w:rsid w:val="00C631C5"/>
    <w:rsid w:val="00C63591"/>
    <w:rsid w:val="00C63E51"/>
    <w:rsid w:val="00C6579F"/>
    <w:rsid w:val="00C667EF"/>
    <w:rsid w:val="00C66D5A"/>
    <w:rsid w:val="00C67C85"/>
    <w:rsid w:val="00C7011F"/>
    <w:rsid w:val="00C72367"/>
    <w:rsid w:val="00C73882"/>
    <w:rsid w:val="00C73DE2"/>
    <w:rsid w:val="00C73F75"/>
    <w:rsid w:val="00C74048"/>
    <w:rsid w:val="00C74B59"/>
    <w:rsid w:val="00C76497"/>
    <w:rsid w:val="00C765DA"/>
    <w:rsid w:val="00C76793"/>
    <w:rsid w:val="00C77D09"/>
    <w:rsid w:val="00C8042E"/>
    <w:rsid w:val="00C8128D"/>
    <w:rsid w:val="00C826DE"/>
    <w:rsid w:val="00C8363B"/>
    <w:rsid w:val="00C8424D"/>
    <w:rsid w:val="00C857AB"/>
    <w:rsid w:val="00C85E92"/>
    <w:rsid w:val="00C870B3"/>
    <w:rsid w:val="00C8731E"/>
    <w:rsid w:val="00C874DF"/>
    <w:rsid w:val="00C87EA8"/>
    <w:rsid w:val="00C87F71"/>
    <w:rsid w:val="00C90587"/>
    <w:rsid w:val="00C90A89"/>
    <w:rsid w:val="00C9183E"/>
    <w:rsid w:val="00C91993"/>
    <w:rsid w:val="00C94A2E"/>
    <w:rsid w:val="00C9505A"/>
    <w:rsid w:val="00C950AF"/>
    <w:rsid w:val="00C956EF"/>
    <w:rsid w:val="00C95F52"/>
    <w:rsid w:val="00C96791"/>
    <w:rsid w:val="00C97ED2"/>
    <w:rsid w:val="00CA0511"/>
    <w:rsid w:val="00CA08FF"/>
    <w:rsid w:val="00CA168D"/>
    <w:rsid w:val="00CA1D83"/>
    <w:rsid w:val="00CA22C7"/>
    <w:rsid w:val="00CA2564"/>
    <w:rsid w:val="00CA2EC0"/>
    <w:rsid w:val="00CA3365"/>
    <w:rsid w:val="00CA3EAC"/>
    <w:rsid w:val="00CA491D"/>
    <w:rsid w:val="00CA5118"/>
    <w:rsid w:val="00CA53D5"/>
    <w:rsid w:val="00CA61FD"/>
    <w:rsid w:val="00CA6630"/>
    <w:rsid w:val="00CA745A"/>
    <w:rsid w:val="00CB0A8F"/>
    <w:rsid w:val="00CB1150"/>
    <w:rsid w:val="00CB2680"/>
    <w:rsid w:val="00CB3098"/>
    <w:rsid w:val="00CB37F1"/>
    <w:rsid w:val="00CB3EC1"/>
    <w:rsid w:val="00CB5494"/>
    <w:rsid w:val="00CB6E1E"/>
    <w:rsid w:val="00CB7016"/>
    <w:rsid w:val="00CB712F"/>
    <w:rsid w:val="00CB7E17"/>
    <w:rsid w:val="00CC12A3"/>
    <w:rsid w:val="00CC17A1"/>
    <w:rsid w:val="00CC25BC"/>
    <w:rsid w:val="00CC3084"/>
    <w:rsid w:val="00CC4211"/>
    <w:rsid w:val="00CC4EF5"/>
    <w:rsid w:val="00CC566D"/>
    <w:rsid w:val="00CC58E0"/>
    <w:rsid w:val="00CC6A43"/>
    <w:rsid w:val="00CC7261"/>
    <w:rsid w:val="00CC7449"/>
    <w:rsid w:val="00CC7494"/>
    <w:rsid w:val="00CC7DE5"/>
    <w:rsid w:val="00CD0BCF"/>
    <w:rsid w:val="00CD1418"/>
    <w:rsid w:val="00CD155B"/>
    <w:rsid w:val="00CD1763"/>
    <w:rsid w:val="00CD1BC5"/>
    <w:rsid w:val="00CD2485"/>
    <w:rsid w:val="00CD26DE"/>
    <w:rsid w:val="00CD2AF0"/>
    <w:rsid w:val="00CD429C"/>
    <w:rsid w:val="00CD42A3"/>
    <w:rsid w:val="00CD7C99"/>
    <w:rsid w:val="00CE1BA6"/>
    <w:rsid w:val="00CE28A4"/>
    <w:rsid w:val="00CE352A"/>
    <w:rsid w:val="00CE3DA6"/>
    <w:rsid w:val="00CE4665"/>
    <w:rsid w:val="00CE4A57"/>
    <w:rsid w:val="00CE4D62"/>
    <w:rsid w:val="00CE4FBF"/>
    <w:rsid w:val="00CE5B43"/>
    <w:rsid w:val="00CE6BA3"/>
    <w:rsid w:val="00CE7726"/>
    <w:rsid w:val="00CE78A4"/>
    <w:rsid w:val="00CF017A"/>
    <w:rsid w:val="00CF03DA"/>
    <w:rsid w:val="00CF108A"/>
    <w:rsid w:val="00CF2BCA"/>
    <w:rsid w:val="00CF3341"/>
    <w:rsid w:val="00CF3D5F"/>
    <w:rsid w:val="00CF5021"/>
    <w:rsid w:val="00CF5A06"/>
    <w:rsid w:val="00CF61A2"/>
    <w:rsid w:val="00CF6CB9"/>
    <w:rsid w:val="00CF6F5E"/>
    <w:rsid w:val="00CF7BBE"/>
    <w:rsid w:val="00D00AC0"/>
    <w:rsid w:val="00D02827"/>
    <w:rsid w:val="00D02CA7"/>
    <w:rsid w:val="00D032BB"/>
    <w:rsid w:val="00D035A3"/>
    <w:rsid w:val="00D0403D"/>
    <w:rsid w:val="00D0475B"/>
    <w:rsid w:val="00D04AA1"/>
    <w:rsid w:val="00D04E5F"/>
    <w:rsid w:val="00D05CE2"/>
    <w:rsid w:val="00D062CA"/>
    <w:rsid w:val="00D07CC3"/>
    <w:rsid w:val="00D108C2"/>
    <w:rsid w:val="00D10E47"/>
    <w:rsid w:val="00D1184B"/>
    <w:rsid w:val="00D1208B"/>
    <w:rsid w:val="00D141C2"/>
    <w:rsid w:val="00D146A4"/>
    <w:rsid w:val="00D14750"/>
    <w:rsid w:val="00D1531C"/>
    <w:rsid w:val="00D15D25"/>
    <w:rsid w:val="00D175D9"/>
    <w:rsid w:val="00D21572"/>
    <w:rsid w:val="00D2178A"/>
    <w:rsid w:val="00D217C0"/>
    <w:rsid w:val="00D2290D"/>
    <w:rsid w:val="00D23D5D"/>
    <w:rsid w:val="00D24B8E"/>
    <w:rsid w:val="00D25CE9"/>
    <w:rsid w:val="00D25DF6"/>
    <w:rsid w:val="00D26542"/>
    <w:rsid w:val="00D26793"/>
    <w:rsid w:val="00D269FA"/>
    <w:rsid w:val="00D27E0D"/>
    <w:rsid w:val="00D324F5"/>
    <w:rsid w:val="00D32F53"/>
    <w:rsid w:val="00D33200"/>
    <w:rsid w:val="00D36387"/>
    <w:rsid w:val="00D37398"/>
    <w:rsid w:val="00D37F1B"/>
    <w:rsid w:val="00D405F1"/>
    <w:rsid w:val="00D4086A"/>
    <w:rsid w:val="00D40DAA"/>
    <w:rsid w:val="00D417A0"/>
    <w:rsid w:val="00D41DFC"/>
    <w:rsid w:val="00D4206F"/>
    <w:rsid w:val="00D42B5B"/>
    <w:rsid w:val="00D43C31"/>
    <w:rsid w:val="00D43CA2"/>
    <w:rsid w:val="00D445EE"/>
    <w:rsid w:val="00D4464B"/>
    <w:rsid w:val="00D44BC0"/>
    <w:rsid w:val="00D44EC4"/>
    <w:rsid w:val="00D451C4"/>
    <w:rsid w:val="00D45AA5"/>
    <w:rsid w:val="00D46E1D"/>
    <w:rsid w:val="00D47BF1"/>
    <w:rsid w:val="00D47D8C"/>
    <w:rsid w:val="00D50E01"/>
    <w:rsid w:val="00D50E74"/>
    <w:rsid w:val="00D514D6"/>
    <w:rsid w:val="00D51AB7"/>
    <w:rsid w:val="00D5369C"/>
    <w:rsid w:val="00D541B5"/>
    <w:rsid w:val="00D546E8"/>
    <w:rsid w:val="00D5495B"/>
    <w:rsid w:val="00D54A8B"/>
    <w:rsid w:val="00D550D6"/>
    <w:rsid w:val="00D578EF"/>
    <w:rsid w:val="00D605DB"/>
    <w:rsid w:val="00D630D3"/>
    <w:rsid w:val="00D6474E"/>
    <w:rsid w:val="00D64847"/>
    <w:rsid w:val="00D65954"/>
    <w:rsid w:val="00D67336"/>
    <w:rsid w:val="00D67C9F"/>
    <w:rsid w:val="00D70224"/>
    <w:rsid w:val="00D72B0A"/>
    <w:rsid w:val="00D74F23"/>
    <w:rsid w:val="00D750EB"/>
    <w:rsid w:val="00D7639F"/>
    <w:rsid w:val="00D76E35"/>
    <w:rsid w:val="00D77061"/>
    <w:rsid w:val="00D77506"/>
    <w:rsid w:val="00D810B9"/>
    <w:rsid w:val="00D815C9"/>
    <w:rsid w:val="00D820F4"/>
    <w:rsid w:val="00D82548"/>
    <w:rsid w:val="00D82A3A"/>
    <w:rsid w:val="00D8421C"/>
    <w:rsid w:val="00D843DD"/>
    <w:rsid w:val="00D865B1"/>
    <w:rsid w:val="00D86B68"/>
    <w:rsid w:val="00D87FF9"/>
    <w:rsid w:val="00D901AF"/>
    <w:rsid w:val="00D90232"/>
    <w:rsid w:val="00D90876"/>
    <w:rsid w:val="00D91225"/>
    <w:rsid w:val="00D914C5"/>
    <w:rsid w:val="00D92872"/>
    <w:rsid w:val="00D92F88"/>
    <w:rsid w:val="00D93350"/>
    <w:rsid w:val="00D94018"/>
    <w:rsid w:val="00D946CD"/>
    <w:rsid w:val="00D946E5"/>
    <w:rsid w:val="00D9571E"/>
    <w:rsid w:val="00D957F3"/>
    <w:rsid w:val="00D95C73"/>
    <w:rsid w:val="00D95C76"/>
    <w:rsid w:val="00D96515"/>
    <w:rsid w:val="00D9661B"/>
    <w:rsid w:val="00D9728D"/>
    <w:rsid w:val="00D973C8"/>
    <w:rsid w:val="00DA022D"/>
    <w:rsid w:val="00DA0C4A"/>
    <w:rsid w:val="00DA1857"/>
    <w:rsid w:val="00DA1D11"/>
    <w:rsid w:val="00DA1D8E"/>
    <w:rsid w:val="00DA30F9"/>
    <w:rsid w:val="00DA3223"/>
    <w:rsid w:val="00DA3419"/>
    <w:rsid w:val="00DA397D"/>
    <w:rsid w:val="00DA4844"/>
    <w:rsid w:val="00DA5282"/>
    <w:rsid w:val="00DA6661"/>
    <w:rsid w:val="00DA6677"/>
    <w:rsid w:val="00DA7142"/>
    <w:rsid w:val="00DB0363"/>
    <w:rsid w:val="00DB1FA6"/>
    <w:rsid w:val="00DB299B"/>
    <w:rsid w:val="00DB3E94"/>
    <w:rsid w:val="00DB5706"/>
    <w:rsid w:val="00DB622D"/>
    <w:rsid w:val="00DB75A9"/>
    <w:rsid w:val="00DB78DD"/>
    <w:rsid w:val="00DB7CFD"/>
    <w:rsid w:val="00DC0574"/>
    <w:rsid w:val="00DC0723"/>
    <w:rsid w:val="00DC0D7F"/>
    <w:rsid w:val="00DC1506"/>
    <w:rsid w:val="00DC1CAA"/>
    <w:rsid w:val="00DC1CD4"/>
    <w:rsid w:val="00DC3011"/>
    <w:rsid w:val="00DC609B"/>
    <w:rsid w:val="00DC66D0"/>
    <w:rsid w:val="00DC68A8"/>
    <w:rsid w:val="00DC7C79"/>
    <w:rsid w:val="00DD167D"/>
    <w:rsid w:val="00DD1D9B"/>
    <w:rsid w:val="00DD263E"/>
    <w:rsid w:val="00DD2CD6"/>
    <w:rsid w:val="00DD2D43"/>
    <w:rsid w:val="00DD467B"/>
    <w:rsid w:val="00DD604E"/>
    <w:rsid w:val="00DD62BF"/>
    <w:rsid w:val="00DD64AD"/>
    <w:rsid w:val="00DD6CD0"/>
    <w:rsid w:val="00DD6CFD"/>
    <w:rsid w:val="00DD7F18"/>
    <w:rsid w:val="00DE0CA2"/>
    <w:rsid w:val="00DE0EA9"/>
    <w:rsid w:val="00DE2AE7"/>
    <w:rsid w:val="00DE4114"/>
    <w:rsid w:val="00DE4E38"/>
    <w:rsid w:val="00DE5053"/>
    <w:rsid w:val="00DE6795"/>
    <w:rsid w:val="00DE7103"/>
    <w:rsid w:val="00DE7140"/>
    <w:rsid w:val="00DE7350"/>
    <w:rsid w:val="00DE7E9A"/>
    <w:rsid w:val="00DF022D"/>
    <w:rsid w:val="00DF05A4"/>
    <w:rsid w:val="00DF0681"/>
    <w:rsid w:val="00DF085A"/>
    <w:rsid w:val="00DF0F29"/>
    <w:rsid w:val="00DF1A4E"/>
    <w:rsid w:val="00DF34D0"/>
    <w:rsid w:val="00DF404E"/>
    <w:rsid w:val="00DF45A0"/>
    <w:rsid w:val="00DF5903"/>
    <w:rsid w:val="00DF7293"/>
    <w:rsid w:val="00DF7B0E"/>
    <w:rsid w:val="00E003A1"/>
    <w:rsid w:val="00E00801"/>
    <w:rsid w:val="00E00C46"/>
    <w:rsid w:val="00E02B38"/>
    <w:rsid w:val="00E0301A"/>
    <w:rsid w:val="00E039BA"/>
    <w:rsid w:val="00E05208"/>
    <w:rsid w:val="00E05289"/>
    <w:rsid w:val="00E05383"/>
    <w:rsid w:val="00E05440"/>
    <w:rsid w:val="00E072EC"/>
    <w:rsid w:val="00E075A9"/>
    <w:rsid w:val="00E07D33"/>
    <w:rsid w:val="00E10A85"/>
    <w:rsid w:val="00E126B0"/>
    <w:rsid w:val="00E127A4"/>
    <w:rsid w:val="00E131BE"/>
    <w:rsid w:val="00E14578"/>
    <w:rsid w:val="00E1506D"/>
    <w:rsid w:val="00E17280"/>
    <w:rsid w:val="00E2054E"/>
    <w:rsid w:val="00E20562"/>
    <w:rsid w:val="00E2141F"/>
    <w:rsid w:val="00E2193B"/>
    <w:rsid w:val="00E227E4"/>
    <w:rsid w:val="00E22CAD"/>
    <w:rsid w:val="00E22F64"/>
    <w:rsid w:val="00E23EB7"/>
    <w:rsid w:val="00E2429A"/>
    <w:rsid w:val="00E24691"/>
    <w:rsid w:val="00E250B1"/>
    <w:rsid w:val="00E25CCE"/>
    <w:rsid w:val="00E25D74"/>
    <w:rsid w:val="00E26F6A"/>
    <w:rsid w:val="00E274EA"/>
    <w:rsid w:val="00E27874"/>
    <w:rsid w:val="00E27A3D"/>
    <w:rsid w:val="00E27ED8"/>
    <w:rsid w:val="00E30372"/>
    <w:rsid w:val="00E31982"/>
    <w:rsid w:val="00E31B01"/>
    <w:rsid w:val="00E322CE"/>
    <w:rsid w:val="00E327BF"/>
    <w:rsid w:val="00E333CD"/>
    <w:rsid w:val="00E35007"/>
    <w:rsid w:val="00E3509B"/>
    <w:rsid w:val="00E35801"/>
    <w:rsid w:val="00E3590E"/>
    <w:rsid w:val="00E36217"/>
    <w:rsid w:val="00E36D9E"/>
    <w:rsid w:val="00E3708A"/>
    <w:rsid w:val="00E3784F"/>
    <w:rsid w:val="00E403C6"/>
    <w:rsid w:val="00E408CE"/>
    <w:rsid w:val="00E416AC"/>
    <w:rsid w:val="00E42349"/>
    <w:rsid w:val="00E44BB2"/>
    <w:rsid w:val="00E44BEB"/>
    <w:rsid w:val="00E45AB4"/>
    <w:rsid w:val="00E47113"/>
    <w:rsid w:val="00E47568"/>
    <w:rsid w:val="00E50628"/>
    <w:rsid w:val="00E509BF"/>
    <w:rsid w:val="00E50E25"/>
    <w:rsid w:val="00E540CE"/>
    <w:rsid w:val="00E5547F"/>
    <w:rsid w:val="00E557CB"/>
    <w:rsid w:val="00E56829"/>
    <w:rsid w:val="00E57352"/>
    <w:rsid w:val="00E57755"/>
    <w:rsid w:val="00E60582"/>
    <w:rsid w:val="00E613D4"/>
    <w:rsid w:val="00E61F5D"/>
    <w:rsid w:val="00E625F5"/>
    <w:rsid w:val="00E62D80"/>
    <w:rsid w:val="00E63B55"/>
    <w:rsid w:val="00E63B91"/>
    <w:rsid w:val="00E644EC"/>
    <w:rsid w:val="00E6577F"/>
    <w:rsid w:val="00E6608D"/>
    <w:rsid w:val="00E66380"/>
    <w:rsid w:val="00E665DC"/>
    <w:rsid w:val="00E66C8D"/>
    <w:rsid w:val="00E712D6"/>
    <w:rsid w:val="00E722B4"/>
    <w:rsid w:val="00E722DF"/>
    <w:rsid w:val="00E72F18"/>
    <w:rsid w:val="00E731EB"/>
    <w:rsid w:val="00E749C0"/>
    <w:rsid w:val="00E75A06"/>
    <w:rsid w:val="00E76700"/>
    <w:rsid w:val="00E76782"/>
    <w:rsid w:val="00E768AB"/>
    <w:rsid w:val="00E76B7A"/>
    <w:rsid w:val="00E778FF"/>
    <w:rsid w:val="00E80FF9"/>
    <w:rsid w:val="00E81650"/>
    <w:rsid w:val="00E83737"/>
    <w:rsid w:val="00E83CED"/>
    <w:rsid w:val="00E8459A"/>
    <w:rsid w:val="00E85182"/>
    <w:rsid w:val="00E85BCB"/>
    <w:rsid w:val="00E863DC"/>
    <w:rsid w:val="00E86F10"/>
    <w:rsid w:val="00E87EFF"/>
    <w:rsid w:val="00E90D9B"/>
    <w:rsid w:val="00E91A79"/>
    <w:rsid w:val="00E91F10"/>
    <w:rsid w:val="00E92366"/>
    <w:rsid w:val="00E93BBD"/>
    <w:rsid w:val="00E94676"/>
    <w:rsid w:val="00E949B3"/>
    <w:rsid w:val="00E9596E"/>
    <w:rsid w:val="00E971B3"/>
    <w:rsid w:val="00EA1355"/>
    <w:rsid w:val="00EA1AA9"/>
    <w:rsid w:val="00EA1E84"/>
    <w:rsid w:val="00EA21FA"/>
    <w:rsid w:val="00EA2EE9"/>
    <w:rsid w:val="00EA3DBD"/>
    <w:rsid w:val="00EA483A"/>
    <w:rsid w:val="00EA4B73"/>
    <w:rsid w:val="00EA4C0D"/>
    <w:rsid w:val="00EA4D9B"/>
    <w:rsid w:val="00EA4F26"/>
    <w:rsid w:val="00EA614C"/>
    <w:rsid w:val="00EA7042"/>
    <w:rsid w:val="00EA70DC"/>
    <w:rsid w:val="00EB0D63"/>
    <w:rsid w:val="00EB1CCD"/>
    <w:rsid w:val="00EB2899"/>
    <w:rsid w:val="00EB2D76"/>
    <w:rsid w:val="00EB4B5A"/>
    <w:rsid w:val="00EB5D12"/>
    <w:rsid w:val="00EB7FD7"/>
    <w:rsid w:val="00EC00CB"/>
    <w:rsid w:val="00EC099B"/>
    <w:rsid w:val="00EC1896"/>
    <w:rsid w:val="00EC238B"/>
    <w:rsid w:val="00EC23CC"/>
    <w:rsid w:val="00EC2426"/>
    <w:rsid w:val="00EC2673"/>
    <w:rsid w:val="00EC2981"/>
    <w:rsid w:val="00EC3134"/>
    <w:rsid w:val="00EC365A"/>
    <w:rsid w:val="00EC3AAD"/>
    <w:rsid w:val="00EC4096"/>
    <w:rsid w:val="00EC4A7A"/>
    <w:rsid w:val="00EC4E2E"/>
    <w:rsid w:val="00EC6E11"/>
    <w:rsid w:val="00ED029C"/>
    <w:rsid w:val="00ED05B4"/>
    <w:rsid w:val="00ED121C"/>
    <w:rsid w:val="00ED289D"/>
    <w:rsid w:val="00ED3615"/>
    <w:rsid w:val="00ED37A1"/>
    <w:rsid w:val="00ED3FA3"/>
    <w:rsid w:val="00ED4CF0"/>
    <w:rsid w:val="00ED5762"/>
    <w:rsid w:val="00ED5CE1"/>
    <w:rsid w:val="00ED6754"/>
    <w:rsid w:val="00ED7902"/>
    <w:rsid w:val="00ED7EE7"/>
    <w:rsid w:val="00EE14DE"/>
    <w:rsid w:val="00EE176C"/>
    <w:rsid w:val="00EE21D9"/>
    <w:rsid w:val="00EE22DD"/>
    <w:rsid w:val="00EE2BEB"/>
    <w:rsid w:val="00EE50D3"/>
    <w:rsid w:val="00EE5B59"/>
    <w:rsid w:val="00EE672D"/>
    <w:rsid w:val="00EF07ED"/>
    <w:rsid w:val="00EF2363"/>
    <w:rsid w:val="00EF2934"/>
    <w:rsid w:val="00EF2FAB"/>
    <w:rsid w:val="00EF3256"/>
    <w:rsid w:val="00EF32FF"/>
    <w:rsid w:val="00EF419E"/>
    <w:rsid w:val="00EF4E80"/>
    <w:rsid w:val="00EF512E"/>
    <w:rsid w:val="00EF5D84"/>
    <w:rsid w:val="00EF5EB5"/>
    <w:rsid w:val="00F0138F"/>
    <w:rsid w:val="00F015AC"/>
    <w:rsid w:val="00F01622"/>
    <w:rsid w:val="00F01988"/>
    <w:rsid w:val="00F0314E"/>
    <w:rsid w:val="00F0379A"/>
    <w:rsid w:val="00F03AF9"/>
    <w:rsid w:val="00F0409D"/>
    <w:rsid w:val="00F04CAD"/>
    <w:rsid w:val="00F0501F"/>
    <w:rsid w:val="00F05EEA"/>
    <w:rsid w:val="00F06F25"/>
    <w:rsid w:val="00F07C73"/>
    <w:rsid w:val="00F1012F"/>
    <w:rsid w:val="00F101C2"/>
    <w:rsid w:val="00F103D2"/>
    <w:rsid w:val="00F10955"/>
    <w:rsid w:val="00F10DD5"/>
    <w:rsid w:val="00F11169"/>
    <w:rsid w:val="00F12414"/>
    <w:rsid w:val="00F12E9E"/>
    <w:rsid w:val="00F133B0"/>
    <w:rsid w:val="00F13A17"/>
    <w:rsid w:val="00F13BD9"/>
    <w:rsid w:val="00F14FA6"/>
    <w:rsid w:val="00F1566F"/>
    <w:rsid w:val="00F16002"/>
    <w:rsid w:val="00F165C8"/>
    <w:rsid w:val="00F169E7"/>
    <w:rsid w:val="00F16FA5"/>
    <w:rsid w:val="00F17090"/>
    <w:rsid w:val="00F170D0"/>
    <w:rsid w:val="00F17BD5"/>
    <w:rsid w:val="00F20256"/>
    <w:rsid w:val="00F209EC"/>
    <w:rsid w:val="00F20E4A"/>
    <w:rsid w:val="00F21920"/>
    <w:rsid w:val="00F22C83"/>
    <w:rsid w:val="00F22F54"/>
    <w:rsid w:val="00F231EC"/>
    <w:rsid w:val="00F23700"/>
    <w:rsid w:val="00F23DC8"/>
    <w:rsid w:val="00F247C4"/>
    <w:rsid w:val="00F26ACA"/>
    <w:rsid w:val="00F30498"/>
    <w:rsid w:val="00F304F4"/>
    <w:rsid w:val="00F31AD8"/>
    <w:rsid w:val="00F31CE9"/>
    <w:rsid w:val="00F35050"/>
    <w:rsid w:val="00F351C6"/>
    <w:rsid w:val="00F35313"/>
    <w:rsid w:val="00F35837"/>
    <w:rsid w:val="00F3744F"/>
    <w:rsid w:val="00F37E9D"/>
    <w:rsid w:val="00F37EA3"/>
    <w:rsid w:val="00F40E6C"/>
    <w:rsid w:val="00F41304"/>
    <w:rsid w:val="00F415DE"/>
    <w:rsid w:val="00F4197F"/>
    <w:rsid w:val="00F41A8B"/>
    <w:rsid w:val="00F4251E"/>
    <w:rsid w:val="00F428A8"/>
    <w:rsid w:val="00F439A0"/>
    <w:rsid w:val="00F443E0"/>
    <w:rsid w:val="00F45413"/>
    <w:rsid w:val="00F46FC7"/>
    <w:rsid w:val="00F47638"/>
    <w:rsid w:val="00F50A56"/>
    <w:rsid w:val="00F52FA1"/>
    <w:rsid w:val="00F539DE"/>
    <w:rsid w:val="00F5420F"/>
    <w:rsid w:val="00F55022"/>
    <w:rsid w:val="00F55522"/>
    <w:rsid w:val="00F5705A"/>
    <w:rsid w:val="00F57A15"/>
    <w:rsid w:val="00F57AF0"/>
    <w:rsid w:val="00F60818"/>
    <w:rsid w:val="00F616BD"/>
    <w:rsid w:val="00F61891"/>
    <w:rsid w:val="00F61CC0"/>
    <w:rsid w:val="00F63F2B"/>
    <w:rsid w:val="00F6407F"/>
    <w:rsid w:val="00F64CB1"/>
    <w:rsid w:val="00F64D3D"/>
    <w:rsid w:val="00F650A6"/>
    <w:rsid w:val="00F65DAD"/>
    <w:rsid w:val="00F66970"/>
    <w:rsid w:val="00F67F90"/>
    <w:rsid w:val="00F703B1"/>
    <w:rsid w:val="00F70FA0"/>
    <w:rsid w:val="00F7111D"/>
    <w:rsid w:val="00F71C19"/>
    <w:rsid w:val="00F72DEA"/>
    <w:rsid w:val="00F74F2F"/>
    <w:rsid w:val="00F74FCF"/>
    <w:rsid w:val="00F75390"/>
    <w:rsid w:val="00F75EEB"/>
    <w:rsid w:val="00F7666D"/>
    <w:rsid w:val="00F772C4"/>
    <w:rsid w:val="00F77BDF"/>
    <w:rsid w:val="00F77F57"/>
    <w:rsid w:val="00F8083B"/>
    <w:rsid w:val="00F80C3F"/>
    <w:rsid w:val="00F812A0"/>
    <w:rsid w:val="00F81823"/>
    <w:rsid w:val="00F81934"/>
    <w:rsid w:val="00F837BB"/>
    <w:rsid w:val="00F84EA1"/>
    <w:rsid w:val="00F850AD"/>
    <w:rsid w:val="00F8513B"/>
    <w:rsid w:val="00F85799"/>
    <w:rsid w:val="00F87697"/>
    <w:rsid w:val="00F908FA"/>
    <w:rsid w:val="00F920B2"/>
    <w:rsid w:val="00F9299C"/>
    <w:rsid w:val="00F92B34"/>
    <w:rsid w:val="00F92CDF"/>
    <w:rsid w:val="00F93498"/>
    <w:rsid w:val="00F935CD"/>
    <w:rsid w:val="00F9519A"/>
    <w:rsid w:val="00F9542F"/>
    <w:rsid w:val="00F95C59"/>
    <w:rsid w:val="00F9602B"/>
    <w:rsid w:val="00F960DB"/>
    <w:rsid w:val="00FA0161"/>
    <w:rsid w:val="00FA08E4"/>
    <w:rsid w:val="00FA115F"/>
    <w:rsid w:val="00FA2629"/>
    <w:rsid w:val="00FA421E"/>
    <w:rsid w:val="00FA4500"/>
    <w:rsid w:val="00FB0C38"/>
    <w:rsid w:val="00FB3AA2"/>
    <w:rsid w:val="00FB4192"/>
    <w:rsid w:val="00FB603F"/>
    <w:rsid w:val="00FC4058"/>
    <w:rsid w:val="00FC4B34"/>
    <w:rsid w:val="00FC4D76"/>
    <w:rsid w:val="00FC6F09"/>
    <w:rsid w:val="00FC7F20"/>
    <w:rsid w:val="00FD00D6"/>
    <w:rsid w:val="00FD0524"/>
    <w:rsid w:val="00FD0990"/>
    <w:rsid w:val="00FD1C1F"/>
    <w:rsid w:val="00FD252F"/>
    <w:rsid w:val="00FD2585"/>
    <w:rsid w:val="00FD28E4"/>
    <w:rsid w:val="00FD3995"/>
    <w:rsid w:val="00FD4A7D"/>
    <w:rsid w:val="00FD706A"/>
    <w:rsid w:val="00FD718B"/>
    <w:rsid w:val="00FD785A"/>
    <w:rsid w:val="00FE0012"/>
    <w:rsid w:val="00FE04BE"/>
    <w:rsid w:val="00FE080C"/>
    <w:rsid w:val="00FE0E02"/>
    <w:rsid w:val="00FE1C43"/>
    <w:rsid w:val="00FE2092"/>
    <w:rsid w:val="00FE3319"/>
    <w:rsid w:val="00FE3EA0"/>
    <w:rsid w:val="00FE45DC"/>
    <w:rsid w:val="00FE4F91"/>
    <w:rsid w:val="00FE60D9"/>
    <w:rsid w:val="00FE6457"/>
    <w:rsid w:val="00FE69B8"/>
    <w:rsid w:val="00FE6C12"/>
    <w:rsid w:val="00FE6E87"/>
    <w:rsid w:val="00FF0B3F"/>
    <w:rsid w:val="00FF186A"/>
    <w:rsid w:val="00FF1A5A"/>
    <w:rsid w:val="00FF2C18"/>
    <w:rsid w:val="00FF3767"/>
    <w:rsid w:val="00FF38DA"/>
    <w:rsid w:val="00FF39BF"/>
    <w:rsid w:val="00FF3A97"/>
    <w:rsid w:val="00FF4015"/>
    <w:rsid w:val="00FF56E9"/>
    <w:rsid w:val="00FF5C35"/>
    <w:rsid w:val="00FF6E3F"/>
    <w:rsid w:val="00FF7E73"/>
    <w:rsid w:val="1272C1FB"/>
    <w:rsid w:val="792B98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FBA5A"/>
  <w15:chartTrackingRefBased/>
  <w15:docId w15:val="{A2F81620-E185-45DF-A2B0-040E0AE7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99"/>
    <w:pPr>
      <w:spacing w:before="160" w:after="0" w:line="312" w:lineRule="auto"/>
    </w:pPr>
    <w:rPr>
      <w:sz w:val="20"/>
      <w:szCs w:val="18"/>
      <w:lang w:val="en-GB"/>
    </w:rPr>
  </w:style>
  <w:style w:type="paragraph" w:styleId="Heading1">
    <w:name w:val="heading 1"/>
    <w:aliases w:val="Num Heading 1"/>
    <w:basedOn w:val="Normal"/>
    <w:next w:val="Normal"/>
    <w:link w:val="Heading1Char"/>
    <w:uiPriority w:val="2"/>
    <w:qFormat/>
    <w:rsid w:val="00550D76"/>
    <w:pPr>
      <w:keepNext/>
      <w:keepLines/>
      <w:numPr>
        <w:numId w:val="5"/>
      </w:numPr>
      <w:spacing w:before="240" w:line="276" w:lineRule="auto"/>
      <w:outlineLvl w:val="0"/>
    </w:pPr>
    <w:rPr>
      <w:b/>
      <w:color w:val="000000" w:themeColor="text1"/>
      <w:sz w:val="24"/>
      <w:szCs w:val="36"/>
    </w:rPr>
  </w:style>
  <w:style w:type="paragraph" w:styleId="Heading2">
    <w:name w:val="heading 2"/>
    <w:aliases w:val="Num Heading 2"/>
    <w:basedOn w:val="Normal"/>
    <w:next w:val="Normal"/>
    <w:link w:val="Heading2Char"/>
    <w:uiPriority w:val="2"/>
    <w:unhideWhenUsed/>
    <w:qFormat/>
    <w:rsid w:val="00550D76"/>
    <w:pPr>
      <w:keepNext/>
      <w:keepLines/>
      <w:numPr>
        <w:ilvl w:val="1"/>
        <w:numId w:val="5"/>
      </w:numPr>
      <w:spacing w:before="120" w:line="276" w:lineRule="auto"/>
      <w:outlineLvl w:val="1"/>
    </w:pPr>
    <w:rPr>
      <w:b/>
      <w:color w:val="000000" w:themeColor="text1"/>
      <w:sz w:val="22"/>
      <w:szCs w:val="22"/>
    </w:rPr>
  </w:style>
  <w:style w:type="paragraph" w:styleId="Heading3">
    <w:name w:val="heading 3"/>
    <w:aliases w:val="Num Heading 3"/>
    <w:basedOn w:val="Normal"/>
    <w:next w:val="Normal"/>
    <w:link w:val="Heading3Char"/>
    <w:uiPriority w:val="2"/>
    <w:unhideWhenUsed/>
    <w:qFormat/>
    <w:rsid w:val="00DF404E"/>
    <w:pPr>
      <w:numPr>
        <w:ilvl w:val="2"/>
        <w:numId w:val="5"/>
      </w:numPr>
      <w:contextualSpacing/>
      <w:outlineLvl w:val="2"/>
    </w:pPr>
    <w:rPr>
      <w:bCs/>
      <w:szCs w:val="20"/>
    </w:rPr>
  </w:style>
  <w:style w:type="paragraph" w:styleId="Heading4">
    <w:name w:val="heading 4"/>
    <w:basedOn w:val="Normal"/>
    <w:next w:val="Normal"/>
    <w:link w:val="Heading4Char"/>
    <w:uiPriority w:val="1"/>
    <w:semiHidden/>
    <w:qFormat/>
    <w:rsid w:val="008B2057"/>
    <w:pPr>
      <w:spacing w:before="240" w:line="276" w:lineRule="auto"/>
      <w:outlineLvl w:val="3"/>
    </w:pPr>
    <w:rPr>
      <w:b/>
      <w:caps/>
      <w:color w:val="3F3F3F" w:themeColor="accent2"/>
      <w:sz w:val="24"/>
      <w:szCs w:val="24"/>
    </w:rPr>
  </w:style>
  <w:style w:type="paragraph" w:styleId="Heading5">
    <w:name w:val="heading 5"/>
    <w:basedOn w:val="Normal"/>
    <w:next w:val="Normal"/>
    <w:link w:val="Heading5Char"/>
    <w:uiPriority w:val="1"/>
    <w:semiHidden/>
    <w:qFormat/>
    <w:rsid w:val="008B2057"/>
    <w:pPr>
      <w:spacing w:before="240" w:line="276" w:lineRule="auto"/>
      <w:outlineLvl w:val="4"/>
    </w:pPr>
    <w:rPr>
      <w:b/>
      <w:caps/>
      <w:color w:val="595959" w:themeColor="accent3"/>
    </w:rPr>
  </w:style>
  <w:style w:type="paragraph" w:styleId="Heading6">
    <w:name w:val="heading 6"/>
    <w:basedOn w:val="Normal"/>
    <w:next w:val="Normal"/>
    <w:link w:val="Heading6Char"/>
    <w:uiPriority w:val="1"/>
    <w:semiHidden/>
    <w:qFormat/>
    <w:rsid w:val="008B2057"/>
    <w:pPr>
      <w:spacing w:before="240" w:line="276" w:lineRule="auto"/>
      <w:outlineLvl w:val="5"/>
    </w:pPr>
    <w:rPr>
      <w:b/>
      <w:caps/>
      <w:color w:val="7F7F7F" w:themeColor="accent4"/>
    </w:rPr>
  </w:style>
  <w:style w:type="paragraph" w:styleId="Heading7">
    <w:name w:val="heading 7"/>
    <w:basedOn w:val="Normal"/>
    <w:next w:val="Normal"/>
    <w:link w:val="Heading7Char"/>
    <w:uiPriority w:val="9"/>
    <w:semiHidden/>
    <w:qFormat/>
    <w:rsid w:val="009F5A95"/>
    <w:pPr>
      <w:outlineLvl w:val="6"/>
    </w:pPr>
  </w:style>
  <w:style w:type="paragraph" w:styleId="Heading8">
    <w:name w:val="heading 8"/>
    <w:basedOn w:val="Normal"/>
    <w:next w:val="Normal"/>
    <w:link w:val="Heading8Char"/>
    <w:uiPriority w:val="9"/>
    <w:semiHidden/>
    <w:qFormat/>
    <w:rsid w:val="009F5A95"/>
    <w:pPr>
      <w:outlineLvl w:val="7"/>
    </w:pPr>
  </w:style>
  <w:style w:type="paragraph" w:styleId="Heading9">
    <w:name w:val="heading 9"/>
    <w:basedOn w:val="Normal"/>
    <w:next w:val="Normal"/>
    <w:link w:val="Heading9Char"/>
    <w:uiPriority w:val="9"/>
    <w:semiHidden/>
    <w:qFormat/>
    <w:rsid w:val="009F5A9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27111D"/>
    <w:pPr>
      <w:spacing w:before="0" w:after="40" w:line="240" w:lineRule="auto"/>
      <w:contextualSpacing/>
    </w:pPr>
    <w:rPr>
      <w:rFonts w:asciiTheme="majorHAnsi" w:eastAsiaTheme="majorEastAsia" w:hAnsiTheme="majorHAnsi" w:cstheme="majorBidi"/>
      <w:b/>
      <w:caps/>
      <w:color w:val="000000" w:themeColor="accent1"/>
      <w:spacing w:val="-10"/>
      <w:kern w:val="28"/>
      <w:sz w:val="48"/>
      <w:szCs w:val="60"/>
    </w:rPr>
  </w:style>
  <w:style w:type="character" w:customStyle="1" w:styleId="TitleChar">
    <w:name w:val="Title Char"/>
    <w:basedOn w:val="DefaultParagraphFont"/>
    <w:link w:val="Title"/>
    <w:uiPriority w:val="99"/>
    <w:rsid w:val="0027111D"/>
    <w:rPr>
      <w:rFonts w:asciiTheme="majorHAnsi" w:eastAsiaTheme="majorEastAsia" w:hAnsiTheme="majorHAnsi" w:cstheme="majorBidi"/>
      <w:b/>
      <w:caps/>
      <w:color w:val="000000" w:themeColor="accent1"/>
      <w:spacing w:val="-10"/>
      <w:kern w:val="28"/>
      <w:sz w:val="48"/>
      <w:szCs w:val="60"/>
      <w:lang w:val="en-GB"/>
    </w:rPr>
  </w:style>
  <w:style w:type="paragraph" w:styleId="Subtitle">
    <w:name w:val="Subtitle"/>
    <w:basedOn w:val="Normal"/>
    <w:next w:val="Normal"/>
    <w:link w:val="SubtitleChar"/>
    <w:uiPriority w:val="99"/>
    <w:qFormat/>
    <w:rsid w:val="00046BAB"/>
    <w:pPr>
      <w:numPr>
        <w:ilvl w:val="1"/>
      </w:numPr>
      <w:spacing w:before="0" w:after="40" w:line="400" w:lineRule="exact"/>
    </w:pPr>
    <w:rPr>
      <w:rFonts w:eastAsiaTheme="minorEastAsia"/>
      <w:b/>
      <w:bCs/>
      <w:color w:val="000000" w:themeColor="text1"/>
      <w:sz w:val="32"/>
      <w:szCs w:val="32"/>
    </w:rPr>
  </w:style>
  <w:style w:type="character" w:customStyle="1" w:styleId="SubtitleChar">
    <w:name w:val="Subtitle Char"/>
    <w:basedOn w:val="DefaultParagraphFont"/>
    <w:link w:val="Subtitle"/>
    <w:uiPriority w:val="99"/>
    <w:rsid w:val="00046BAB"/>
    <w:rPr>
      <w:rFonts w:eastAsiaTheme="minorEastAsia"/>
      <w:b/>
      <w:bCs/>
      <w:color w:val="000000" w:themeColor="text1"/>
      <w:sz w:val="32"/>
      <w:szCs w:val="32"/>
      <w:lang w:val="en-GB"/>
    </w:rPr>
  </w:style>
  <w:style w:type="paragraph" w:customStyle="1" w:styleId="Coverversionnumber">
    <w:name w:val="Cover version number"/>
    <w:basedOn w:val="Normal"/>
    <w:uiPriority w:val="99"/>
    <w:rsid w:val="00046BAB"/>
    <w:pPr>
      <w:spacing w:before="0" w:after="600"/>
    </w:pPr>
    <w:rPr>
      <w:b/>
      <w:bCs/>
      <w:color w:val="7F7F7F" w:themeColor="accent4"/>
    </w:rPr>
  </w:style>
  <w:style w:type="character" w:customStyle="1" w:styleId="Heading1Char">
    <w:name w:val="Heading 1 Char"/>
    <w:aliases w:val="Num Heading 1 Char"/>
    <w:basedOn w:val="DefaultParagraphFont"/>
    <w:link w:val="Heading1"/>
    <w:uiPriority w:val="2"/>
    <w:rsid w:val="005C4819"/>
    <w:rPr>
      <w:b/>
      <w:color w:val="000000" w:themeColor="text1"/>
      <w:sz w:val="24"/>
      <w:szCs w:val="36"/>
      <w:lang w:val="en-GB"/>
    </w:rPr>
  </w:style>
  <w:style w:type="character" w:customStyle="1" w:styleId="Heading2Char">
    <w:name w:val="Heading 2 Char"/>
    <w:aliases w:val="Num Heading 2 Char"/>
    <w:basedOn w:val="DefaultParagraphFont"/>
    <w:link w:val="Heading2"/>
    <w:uiPriority w:val="2"/>
    <w:rsid w:val="005C4819"/>
    <w:rPr>
      <w:b/>
      <w:color w:val="000000" w:themeColor="text1"/>
      <w:lang w:val="en-GB"/>
    </w:rPr>
  </w:style>
  <w:style w:type="character" w:customStyle="1" w:styleId="Heading3Char">
    <w:name w:val="Heading 3 Char"/>
    <w:aliases w:val="Num Heading 3 Char"/>
    <w:basedOn w:val="DefaultParagraphFont"/>
    <w:link w:val="Heading3"/>
    <w:uiPriority w:val="2"/>
    <w:rsid w:val="00DF404E"/>
    <w:rPr>
      <w:bCs/>
      <w:sz w:val="20"/>
      <w:szCs w:val="20"/>
      <w:lang w:val="en-GB"/>
    </w:rPr>
  </w:style>
  <w:style w:type="character" w:customStyle="1" w:styleId="Heading4Char">
    <w:name w:val="Heading 4 Char"/>
    <w:basedOn w:val="DefaultParagraphFont"/>
    <w:link w:val="Heading4"/>
    <w:uiPriority w:val="1"/>
    <w:semiHidden/>
    <w:rsid w:val="00335B95"/>
    <w:rPr>
      <w:b/>
      <w:caps/>
      <w:noProof/>
      <w:color w:val="3F3F3F" w:themeColor="accent2"/>
      <w:sz w:val="24"/>
      <w:szCs w:val="24"/>
      <w:lang w:val="en-GB"/>
    </w:rPr>
  </w:style>
  <w:style w:type="character" w:customStyle="1" w:styleId="Heading5Char">
    <w:name w:val="Heading 5 Char"/>
    <w:basedOn w:val="DefaultParagraphFont"/>
    <w:link w:val="Heading5"/>
    <w:uiPriority w:val="1"/>
    <w:semiHidden/>
    <w:rsid w:val="00335B95"/>
    <w:rPr>
      <w:b/>
      <w:caps/>
      <w:noProof/>
      <w:color w:val="595959" w:themeColor="accent3"/>
      <w:sz w:val="20"/>
      <w:szCs w:val="18"/>
      <w:lang w:val="en-GB"/>
    </w:rPr>
  </w:style>
  <w:style w:type="character" w:customStyle="1" w:styleId="Heading6Char">
    <w:name w:val="Heading 6 Char"/>
    <w:basedOn w:val="DefaultParagraphFont"/>
    <w:link w:val="Heading6"/>
    <w:uiPriority w:val="1"/>
    <w:semiHidden/>
    <w:rsid w:val="00335B95"/>
    <w:rPr>
      <w:b/>
      <w:caps/>
      <w:noProof/>
      <w:color w:val="7F7F7F" w:themeColor="accent4"/>
      <w:sz w:val="20"/>
      <w:szCs w:val="18"/>
      <w:lang w:val="en-GB"/>
    </w:rPr>
  </w:style>
  <w:style w:type="character" w:customStyle="1" w:styleId="Heading7Char">
    <w:name w:val="Heading 7 Char"/>
    <w:basedOn w:val="DefaultParagraphFont"/>
    <w:link w:val="Heading7"/>
    <w:uiPriority w:val="9"/>
    <w:semiHidden/>
    <w:rsid w:val="00240669"/>
    <w:rPr>
      <w:noProof/>
      <w:sz w:val="18"/>
      <w:szCs w:val="18"/>
      <w:lang w:val="en-GB"/>
    </w:rPr>
  </w:style>
  <w:style w:type="character" w:customStyle="1" w:styleId="Heading8Char">
    <w:name w:val="Heading 8 Char"/>
    <w:basedOn w:val="DefaultParagraphFont"/>
    <w:link w:val="Heading8"/>
    <w:uiPriority w:val="9"/>
    <w:semiHidden/>
    <w:rsid w:val="00240669"/>
    <w:rPr>
      <w:noProof/>
      <w:sz w:val="18"/>
      <w:szCs w:val="18"/>
      <w:lang w:val="en-GB"/>
    </w:rPr>
  </w:style>
  <w:style w:type="character" w:customStyle="1" w:styleId="Heading9Char">
    <w:name w:val="Heading 9 Char"/>
    <w:basedOn w:val="DefaultParagraphFont"/>
    <w:link w:val="Heading9"/>
    <w:uiPriority w:val="9"/>
    <w:semiHidden/>
    <w:rsid w:val="00240669"/>
    <w:rPr>
      <w:noProof/>
      <w:sz w:val="18"/>
      <w:szCs w:val="18"/>
      <w:lang w:val="en-GB"/>
    </w:rPr>
  </w:style>
  <w:style w:type="paragraph" w:styleId="ListParagraph">
    <w:name w:val="List Paragraph"/>
    <w:basedOn w:val="Normal"/>
    <w:link w:val="ListParagraphChar"/>
    <w:uiPriority w:val="34"/>
    <w:qFormat/>
    <w:rsid w:val="008577E8"/>
    <w:pPr>
      <w:ind w:left="720"/>
      <w:contextualSpacing/>
    </w:pPr>
  </w:style>
  <w:style w:type="character" w:styleId="Strong">
    <w:name w:val="Strong"/>
    <w:aliases w:val="*Bold"/>
    <w:basedOn w:val="DefaultParagraphFont"/>
    <w:uiPriority w:val="22"/>
    <w:qFormat/>
    <w:rsid w:val="008577E8"/>
    <w:rPr>
      <w:b/>
      <w:bCs/>
    </w:rPr>
  </w:style>
  <w:style w:type="character" w:styleId="Emphasis">
    <w:name w:val="Emphasis"/>
    <w:aliases w:val="*Italics"/>
    <w:basedOn w:val="DefaultParagraphFont"/>
    <w:uiPriority w:val="99"/>
    <w:qFormat/>
    <w:rsid w:val="008577E8"/>
    <w:rPr>
      <w:i/>
      <w:iCs/>
    </w:rPr>
  </w:style>
  <w:style w:type="paragraph" w:styleId="ListBullet">
    <w:name w:val="List Bullet"/>
    <w:basedOn w:val="ListParagraph"/>
    <w:uiPriority w:val="1"/>
    <w:qFormat/>
    <w:rsid w:val="00850109"/>
    <w:pPr>
      <w:numPr>
        <w:numId w:val="1"/>
      </w:numPr>
      <w:spacing w:before="0"/>
    </w:pPr>
  </w:style>
  <w:style w:type="paragraph" w:styleId="ListBullet2">
    <w:name w:val="List Bullet 2"/>
    <w:basedOn w:val="Normal"/>
    <w:uiPriority w:val="1"/>
    <w:qFormat/>
    <w:rsid w:val="00550D76"/>
    <w:pPr>
      <w:numPr>
        <w:ilvl w:val="1"/>
        <w:numId w:val="1"/>
      </w:numPr>
      <w:contextualSpacing/>
    </w:pPr>
  </w:style>
  <w:style w:type="paragraph" w:styleId="ListBullet3">
    <w:name w:val="List Bullet 3"/>
    <w:basedOn w:val="Normal"/>
    <w:uiPriority w:val="1"/>
    <w:qFormat/>
    <w:rsid w:val="007D2C08"/>
    <w:pPr>
      <w:numPr>
        <w:ilvl w:val="2"/>
        <w:numId w:val="1"/>
      </w:numPr>
      <w:spacing w:before="0"/>
      <w:ind w:left="681" w:hanging="227"/>
      <w:contextualSpacing/>
    </w:pPr>
  </w:style>
  <w:style w:type="paragraph" w:styleId="Header">
    <w:name w:val="header"/>
    <w:basedOn w:val="Normal"/>
    <w:link w:val="HeaderChar"/>
    <w:uiPriority w:val="99"/>
    <w:unhideWhenUsed/>
    <w:rsid w:val="00550D76"/>
    <w:pPr>
      <w:tabs>
        <w:tab w:val="center" w:pos="4513"/>
        <w:tab w:val="right" w:pos="9026"/>
      </w:tabs>
      <w:spacing w:line="240" w:lineRule="auto"/>
    </w:pPr>
  </w:style>
  <w:style w:type="character" w:customStyle="1" w:styleId="HeaderChar">
    <w:name w:val="Header Char"/>
    <w:basedOn w:val="DefaultParagraphFont"/>
    <w:link w:val="Header"/>
    <w:uiPriority w:val="99"/>
    <w:rsid w:val="00550D76"/>
    <w:rPr>
      <w:sz w:val="20"/>
      <w:szCs w:val="18"/>
      <w:lang w:val="en-GB"/>
    </w:rPr>
  </w:style>
  <w:style w:type="paragraph" w:styleId="Footer">
    <w:name w:val="footer"/>
    <w:basedOn w:val="Normal"/>
    <w:link w:val="FooterChar"/>
    <w:uiPriority w:val="99"/>
    <w:unhideWhenUsed/>
    <w:rsid w:val="00550D76"/>
    <w:pPr>
      <w:pBdr>
        <w:top w:val="single" w:sz="4" w:space="16" w:color="767676" w:themeColor="accent6" w:themeShade="80"/>
      </w:pBdr>
      <w:tabs>
        <w:tab w:val="center" w:pos="4513"/>
        <w:tab w:val="right" w:pos="9026"/>
      </w:tabs>
      <w:spacing w:line="240" w:lineRule="auto"/>
    </w:pPr>
    <w:rPr>
      <w:color w:val="767676" w:themeColor="accent6" w:themeShade="80"/>
      <w:sz w:val="16"/>
    </w:rPr>
  </w:style>
  <w:style w:type="character" w:customStyle="1" w:styleId="FooterChar">
    <w:name w:val="Footer Char"/>
    <w:basedOn w:val="DefaultParagraphFont"/>
    <w:link w:val="Footer"/>
    <w:uiPriority w:val="99"/>
    <w:rsid w:val="00550D76"/>
    <w:rPr>
      <w:color w:val="767676" w:themeColor="accent6" w:themeShade="80"/>
      <w:sz w:val="16"/>
      <w:szCs w:val="18"/>
      <w:lang w:val="en-GB"/>
    </w:rPr>
  </w:style>
  <w:style w:type="paragraph" w:customStyle="1" w:styleId="Header1">
    <w:name w:val="Header 1"/>
    <w:basedOn w:val="Heading1"/>
    <w:next w:val="Normal"/>
    <w:uiPriority w:val="2"/>
    <w:qFormat/>
    <w:rsid w:val="00440650"/>
    <w:pPr>
      <w:numPr>
        <w:numId w:val="0"/>
      </w:numPr>
    </w:pPr>
  </w:style>
  <w:style w:type="paragraph" w:customStyle="1" w:styleId="Header2">
    <w:name w:val="Header 2"/>
    <w:basedOn w:val="Heading2"/>
    <w:next w:val="Normal"/>
    <w:uiPriority w:val="2"/>
    <w:qFormat/>
    <w:rsid w:val="00440650"/>
    <w:pPr>
      <w:numPr>
        <w:ilvl w:val="0"/>
        <w:numId w:val="0"/>
      </w:numPr>
    </w:pPr>
  </w:style>
  <w:style w:type="paragraph" w:customStyle="1" w:styleId="Header3">
    <w:name w:val="Header 3"/>
    <w:basedOn w:val="Heading3"/>
    <w:next w:val="Normal"/>
    <w:uiPriority w:val="2"/>
    <w:qFormat/>
    <w:rsid w:val="00440650"/>
    <w:pPr>
      <w:keepNext/>
      <w:keepLines/>
      <w:numPr>
        <w:ilvl w:val="0"/>
        <w:numId w:val="0"/>
      </w:numPr>
    </w:pPr>
    <w:rPr>
      <w:b/>
      <w:bCs w:val="0"/>
      <w:color w:val="000000" w:themeColor="text1"/>
    </w:rPr>
  </w:style>
  <w:style w:type="paragraph" w:customStyle="1" w:styleId="AppendixHeading1">
    <w:name w:val="Appendix Heading 1"/>
    <w:basedOn w:val="Heading1"/>
    <w:uiPriority w:val="3"/>
    <w:qFormat/>
    <w:rsid w:val="009778E9"/>
    <w:pPr>
      <w:numPr>
        <w:numId w:val="2"/>
      </w:numPr>
      <w:ind w:left="851"/>
    </w:pPr>
  </w:style>
  <w:style w:type="paragraph" w:customStyle="1" w:styleId="AppendixHeading2">
    <w:name w:val="Appendix Heading 2"/>
    <w:basedOn w:val="Heading2"/>
    <w:uiPriority w:val="3"/>
    <w:qFormat/>
    <w:rsid w:val="00550D76"/>
    <w:pPr>
      <w:numPr>
        <w:numId w:val="2"/>
      </w:numPr>
    </w:pPr>
  </w:style>
  <w:style w:type="paragraph" w:customStyle="1" w:styleId="AppendixHeading3">
    <w:name w:val="Appendix Heading 3"/>
    <w:basedOn w:val="Heading3"/>
    <w:uiPriority w:val="3"/>
    <w:qFormat/>
    <w:rsid w:val="001403F3"/>
    <w:pPr>
      <w:numPr>
        <w:numId w:val="2"/>
      </w:numPr>
    </w:pPr>
  </w:style>
  <w:style w:type="paragraph" w:customStyle="1" w:styleId="Subpara1">
    <w:name w:val="Subpara 1"/>
    <w:basedOn w:val="Normal"/>
    <w:next w:val="Normal"/>
    <w:uiPriority w:val="1"/>
    <w:qFormat/>
    <w:rsid w:val="00550D76"/>
    <w:pPr>
      <w:numPr>
        <w:ilvl w:val="3"/>
        <w:numId w:val="5"/>
      </w:numPr>
      <w:contextualSpacing/>
      <w:outlineLvl w:val="3"/>
    </w:pPr>
    <w:rPr>
      <w:bCs/>
      <w:szCs w:val="20"/>
    </w:rPr>
  </w:style>
  <w:style w:type="paragraph" w:customStyle="1" w:styleId="Subpara2">
    <w:name w:val="Subpara 2"/>
    <w:basedOn w:val="Normal"/>
    <w:next w:val="Normal"/>
    <w:uiPriority w:val="1"/>
    <w:qFormat/>
    <w:rsid w:val="00550D76"/>
    <w:pPr>
      <w:numPr>
        <w:ilvl w:val="5"/>
        <w:numId w:val="5"/>
      </w:numPr>
      <w:contextualSpacing/>
      <w:outlineLvl w:val="5"/>
    </w:pPr>
    <w:rPr>
      <w:bCs/>
      <w:szCs w:val="20"/>
    </w:rPr>
  </w:style>
  <w:style w:type="paragraph" w:customStyle="1" w:styleId="Subpara3">
    <w:name w:val="Subpara 3"/>
    <w:basedOn w:val="Subpara2"/>
    <w:next w:val="Normal"/>
    <w:uiPriority w:val="1"/>
    <w:qFormat/>
    <w:rsid w:val="00550D76"/>
    <w:pPr>
      <w:numPr>
        <w:ilvl w:val="7"/>
      </w:numPr>
    </w:pPr>
  </w:style>
  <w:style w:type="table" w:styleId="TableGrid">
    <w:name w:val="Table Grid"/>
    <w:basedOn w:val="TableNormal"/>
    <w:uiPriority w:val="59"/>
    <w:rsid w:val="000D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Whitepapertable">
    <w:name w:val="CA_White paper table"/>
    <w:basedOn w:val="TableNormal"/>
    <w:uiPriority w:val="99"/>
    <w:rsid w:val="00DE7E9A"/>
    <w:pPr>
      <w:spacing w:after="0" w:line="240" w:lineRule="auto"/>
    </w:pPr>
    <w:tblPr>
      <w:tblBorders>
        <w:top w:val="single" w:sz="2" w:space="0" w:color="595959" w:themeColor="accent3"/>
        <w:left w:val="single" w:sz="2" w:space="0" w:color="595959" w:themeColor="accent3"/>
        <w:bottom w:val="single" w:sz="2" w:space="0" w:color="595959" w:themeColor="accent3"/>
        <w:right w:val="single" w:sz="2" w:space="0" w:color="595959" w:themeColor="accent3"/>
        <w:insideH w:val="single" w:sz="2" w:space="0" w:color="595959" w:themeColor="accent3"/>
        <w:insideV w:val="single" w:sz="2" w:space="0" w:color="595959" w:themeColor="accent3"/>
      </w:tblBorders>
    </w:tblPr>
    <w:tcPr>
      <w:shd w:val="clear" w:color="auto" w:fill="auto"/>
    </w:tcPr>
    <w:tblStylePr w:type="firstRow">
      <w:pPr>
        <w:jc w:val="left"/>
      </w:pPr>
      <w:rPr>
        <w:b w:val="0"/>
        <w:caps w:val="0"/>
        <w:smallCaps w:val="0"/>
        <w:color w:val="FFFFFF" w:themeColor="background1"/>
      </w:rPr>
      <w:tblPr/>
      <w:trPr>
        <w:tblHeader/>
      </w:trPr>
      <w:tcPr>
        <w:tcBorders>
          <w:top w:val="nil"/>
          <w:left w:val="single" w:sz="2" w:space="0" w:color="595959" w:themeColor="accent3"/>
          <w:bottom w:val="nil"/>
          <w:right w:val="single" w:sz="2" w:space="0" w:color="595959" w:themeColor="accent3"/>
          <w:insideH w:val="nil"/>
          <w:insideV w:val="single" w:sz="2" w:space="0" w:color="FFFFFF" w:themeColor="background1"/>
          <w:tl2br w:val="nil"/>
          <w:tr2bl w:val="nil"/>
        </w:tcBorders>
        <w:shd w:val="clear" w:color="auto" w:fill="595959" w:themeFill="accent3"/>
        <w:vAlign w:val="bottom"/>
      </w:tcPr>
    </w:tblStylePr>
    <w:tblStylePr w:type="lastRow">
      <w:rPr>
        <w:b/>
      </w:rPr>
    </w:tblStylePr>
    <w:tblStylePr w:type="firstCol">
      <w:rPr>
        <w:color w:val="auto"/>
      </w:rPr>
      <w:tblPr/>
      <w:tcPr>
        <w:shd w:val="clear" w:color="auto" w:fill="C9C9C9" w:themeFill="accent5"/>
      </w:tcPr>
    </w:tblStylePr>
  </w:style>
  <w:style w:type="paragraph" w:customStyle="1" w:styleId="Tabletext">
    <w:name w:val="Table text"/>
    <w:basedOn w:val="Normal"/>
    <w:uiPriority w:val="2"/>
    <w:qFormat/>
    <w:rsid w:val="00E10A85"/>
    <w:pPr>
      <w:spacing w:before="60" w:after="60" w:line="264" w:lineRule="auto"/>
    </w:pPr>
  </w:style>
  <w:style w:type="paragraph" w:customStyle="1" w:styleId="Tablenumbers">
    <w:name w:val="Table numbers"/>
    <w:basedOn w:val="Tabletext"/>
    <w:uiPriority w:val="2"/>
    <w:qFormat/>
    <w:rsid w:val="00E10A85"/>
    <w:pPr>
      <w:jc w:val="right"/>
    </w:pPr>
  </w:style>
  <w:style w:type="table" w:customStyle="1" w:styleId="CABlank">
    <w:name w:val="CA_Blank"/>
    <w:basedOn w:val="TableNormal"/>
    <w:uiPriority w:val="99"/>
    <w:rsid w:val="003A17FC"/>
    <w:pPr>
      <w:spacing w:after="0" w:line="240" w:lineRule="auto"/>
    </w:pPr>
    <w:tblPr>
      <w:tblCellMar>
        <w:left w:w="0" w:type="dxa"/>
        <w:right w:w="0" w:type="dxa"/>
      </w:tblCellMar>
    </w:tblPr>
  </w:style>
  <w:style w:type="paragraph" w:styleId="BodyText">
    <w:name w:val="Body Text"/>
    <w:basedOn w:val="Normal"/>
    <w:link w:val="BodyTextChar"/>
    <w:qFormat/>
    <w:rsid w:val="00550D76"/>
    <w:rPr>
      <w:color w:val="000000" w:themeColor="text1"/>
    </w:rPr>
  </w:style>
  <w:style w:type="character" w:customStyle="1" w:styleId="BodyTextChar">
    <w:name w:val="Body Text Char"/>
    <w:basedOn w:val="DefaultParagraphFont"/>
    <w:link w:val="BodyText"/>
    <w:rsid w:val="00550D76"/>
    <w:rPr>
      <w:color w:val="000000" w:themeColor="text1"/>
      <w:sz w:val="20"/>
      <w:szCs w:val="18"/>
      <w:lang w:val="en-GB"/>
    </w:rPr>
  </w:style>
  <w:style w:type="paragraph" w:customStyle="1" w:styleId="Tablenumbersheading">
    <w:name w:val="Table numbers (heading)"/>
    <w:basedOn w:val="Tablenumbers"/>
    <w:uiPriority w:val="2"/>
    <w:qFormat/>
    <w:rsid w:val="00C765DA"/>
    <w:rPr>
      <w:b/>
      <w:color w:val="FFFFFF" w:themeColor="background1"/>
    </w:rPr>
  </w:style>
  <w:style w:type="paragraph" w:customStyle="1" w:styleId="Tabletextheading">
    <w:name w:val="Table text (heading)"/>
    <w:basedOn w:val="Tabletext"/>
    <w:uiPriority w:val="2"/>
    <w:qFormat/>
    <w:rsid w:val="00C765DA"/>
    <w:rPr>
      <w:b/>
      <w:color w:val="FFFFFF" w:themeColor="background1"/>
    </w:rPr>
  </w:style>
  <w:style w:type="paragraph" w:styleId="NoSpacing">
    <w:name w:val="No Spacing"/>
    <w:uiPriority w:val="99"/>
    <w:qFormat/>
    <w:rsid w:val="00992B5A"/>
    <w:pPr>
      <w:spacing w:after="0" w:line="240" w:lineRule="auto"/>
    </w:pPr>
    <w:rPr>
      <w:noProof/>
      <w:color w:val="767676" w:themeColor="accent6" w:themeShade="80"/>
      <w:sz w:val="18"/>
      <w:szCs w:val="18"/>
      <w:lang w:val="en-GB"/>
    </w:rPr>
  </w:style>
  <w:style w:type="paragraph" w:customStyle="1" w:styleId="Layoutspacer">
    <w:name w:val="Layout spacer"/>
    <w:basedOn w:val="BodyText"/>
    <w:uiPriority w:val="99"/>
    <w:rsid w:val="00CB2680"/>
    <w:pPr>
      <w:spacing w:before="0" w:line="240" w:lineRule="auto"/>
    </w:pPr>
    <w:rPr>
      <w:vanish/>
      <w:color w:val="C00000"/>
    </w:rPr>
  </w:style>
  <w:style w:type="character" w:styleId="PlaceholderText">
    <w:name w:val="Placeholder Text"/>
    <w:basedOn w:val="DefaultParagraphFont"/>
    <w:uiPriority w:val="99"/>
    <w:semiHidden/>
    <w:rsid w:val="007E1140"/>
    <w:rPr>
      <w:color w:val="808080"/>
    </w:rPr>
  </w:style>
  <w:style w:type="paragraph" w:styleId="Caption">
    <w:name w:val="caption"/>
    <w:basedOn w:val="Normal"/>
    <w:next w:val="Normal"/>
    <w:uiPriority w:val="2"/>
    <w:qFormat/>
    <w:rsid w:val="00550D76"/>
    <w:pPr>
      <w:keepNext/>
      <w:keepLines/>
      <w:spacing w:before="0" w:after="200" w:line="240" w:lineRule="auto"/>
    </w:pPr>
    <w:rPr>
      <w:iCs/>
      <w:caps/>
      <w:color w:val="000000" w:themeColor="accent1"/>
    </w:rPr>
  </w:style>
  <w:style w:type="paragraph" w:styleId="TOCHeading">
    <w:name w:val="TOC Heading"/>
    <w:basedOn w:val="Heading1"/>
    <w:next w:val="Normal"/>
    <w:uiPriority w:val="39"/>
    <w:qFormat/>
    <w:rsid w:val="00962605"/>
    <w:pPr>
      <w:numPr>
        <w:numId w:val="0"/>
      </w:numPr>
      <w:spacing w:before="0" w:after="600" w:line="312" w:lineRule="auto"/>
      <w:outlineLvl w:val="9"/>
    </w:pPr>
    <w:rPr>
      <w:rFonts w:asciiTheme="majorHAnsi" w:eastAsiaTheme="majorEastAsia" w:hAnsiTheme="majorHAnsi" w:cstheme="majorBidi"/>
      <w:sz w:val="60"/>
      <w:szCs w:val="60"/>
    </w:rPr>
  </w:style>
  <w:style w:type="paragraph" w:styleId="TOC1">
    <w:name w:val="toc 1"/>
    <w:basedOn w:val="Normal"/>
    <w:next w:val="Normal"/>
    <w:autoRedefine/>
    <w:uiPriority w:val="39"/>
    <w:rsid w:val="0021707D"/>
    <w:pPr>
      <w:tabs>
        <w:tab w:val="left" w:pos="660"/>
        <w:tab w:val="right" w:leader="dot" w:pos="9854"/>
      </w:tabs>
      <w:spacing w:after="40"/>
    </w:pPr>
    <w:rPr>
      <w:b/>
      <w:color w:val="3F3F3F" w:themeColor="accent2"/>
      <w:sz w:val="22"/>
      <w:szCs w:val="22"/>
    </w:rPr>
  </w:style>
  <w:style w:type="paragraph" w:styleId="TOC2">
    <w:name w:val="toc 2"/>
    <w:basedOn w:val="Normal"/>
    <w:next w:val="Normal"/>
    <w:autoRedefine/>
    <w:uiPriority w:val="39"/>
    <w:rsid w:val="00BF41CB"/>
    <w:pPr>
      <w:tabs>
        <w:tab w:val="left" w:pos="660"/>
        <w:tab w:val="right" w:leader="dot" w:pos="9854"/>
      </w:tabs>
      <w:spacing w:before="40" w:after="40"/>
      <w:ind w:left="180"/>
    </w:pPr>
  </w:style>
  <w:style w:type="paragraph" w:styleId="TOC3">
    <w:name w:val="toc 3"/>
    <w:basedOn w:val="Normal"/>
    <w:next w:val="Normal"/>
    <w:autoRedefine/>
    <w:uiPriority w:val="39"/>
    <w:rsid w:val="0020292C"/>
    <w:pPr>
      <w:tabs>
        <w:tab w:val="right" w:leader="dot" w:pos="9854"/>
      </w:tabs>
      <w:spacing w:before="40" w:after="40"/>
      <w:ind w:left="360"/>
    </w:pPr>
  </w:style>
  <w:style w:type="character" w:styleId="Hyperlink">
    <w:name w:val="Hyperlink"/>
    <w:basedOn w:val="DefaultParagraphFont"/>
    <w:uiPriority w:val="99"/>
    <w:unhideWhenUsed/>
    <w:rsid w:val="001E1E31"/>
    <w:rPr>
      <w:color w:val="0563C1" w:themeColor="hyperlink"/>
      <w:u w:val="single"/>
    </w:rPr>
  </w:style>
  <w:style w:type="character" w:customStyle="1" w:styleId="Accentcolour1">
    <w:name w:val="*Accent colour 1"/>
    <w:basedOn w:val="DefaultParagraphFont"/>
    <w:uiPriority w:val="99"/>
    <w:qFormat/>
    <w:rsid w:val="001B3F68"/>
    <w:rPr>
      <w:color w:val="000000" w:themeColor="accent1"/>
    </w:rPr>
  </w:style>
  <w:style w:type="character" w:customStyle="1" w:styleId="Accentcolour1bold">
    <w:name w:val="*Accent colour 1 (bold)"/>
    <w:basedOn w:val="Accentcolour1"/>
    <w:uiPriority w:val="99"/>
    <w:qFormat/>
    <w:rsid w:val="001B3F68"/>
    <w:rPr>
      <w:b/>
      <w:color w:val="000000" w:themeColor="accent1"/>
    </w:rPr>
  </w:style>
  <w:style w:type="character" w:customStyle="1" w:styleId="Accentcolour2">
    <w:name w:val="*Accent colour 2"/>
    <w:basedOn w:val="DefaultParagraphFont"/>
    <w:uiPriority w:val="99"/>
    <w:qFormat/>
    <w:rsid w:val="001B3F68"/>
    <w:rPr>
      <w:color w:val="3F3F3F" w:themeColor="accent2"/>
    </w:rPr>
  </w:style>
  <w:style w:type="character" w:customStyle="1" w:styleId="Accentcolour2bold">
    <w:name w:val="*Accent colour 2 (bold)"/>
    <w:basedOn w:val="Accentcolour2"/>
    <w:uiPriority w:val="99"/>
    <w:qFormat/>
    <w:rsid w:val="001B3F68"/>
    <w:rPr>
      <w:b/>
      <w:color w:val="3F3F3F" w:themeColor="accent2"/>
    </w:rPr>
  </w:style>
  <w:style w:type="character" w:customStyle="1" w:styleId="Accentcolour3">
    <w:name w:val="*Accent colour 3"/>
    <w:basedOn w:val="DefaultParagraphFont"/>
    <w:uiPriority w:val="99"/>
    <w:qFormat/>
    <w:rsid w:val="001B3F68"/>
    <w:rPr>
      <w:color w:val="595959" w:themeColor="accent3"/>
    </w:rPr>
  </w:style>
  <w:style w:type="character" w:customStyle="1" w:styleId="Accentcolour3bold">
    <w:name w:val="*Accent colour 3 (bold)"/>
    <w:basedOn w:val="Accentcolour3"/>
    <w:uiPriority w:val="99"/>
    <w:qFormat/>
    <w:rsid w:val="001B3F68"/>
    <w:rPr>
      <w:b/>
      <w:color w:val="595959" w:themeColor="accent3"/>
    </w:rPr>
  </w:style>
  <w:style w:type="character" w:customStyle="1" w:styleId="Accentcolour4">
    <w:name w:val="*Accent colour 4"/>
    <w:basedOn w:val="DefaultParagraphFont"/>
    <w:uiPriority w:val="99"/>
    <w:qFormat/>
    <w:rsid w:val="00881D34"/>
    <w:rPr>
      <w:color w:val="7F7F7F" w:themeColor="accent4"/>
    </w:rPr>
  </w:style>
  <w:style w:type="character" w:customStyle="1" w:styleId="Accentcolour4bold">
    <w:name w:val="*Accent colour 4 (bold)"/>
    <w:basedOn w:val="Accentcolour4"/>
    <w:uiPriority w:val="99"/>
    <w:qFormat/>
    <w:rsid w:val="00881D34"/>
    <w:rPr>
      <w:b/>
      <w:color w:val="7F7F7F" w:themeColor="accent4"/>
    </w:rPr>
  </w:style>
  <w:style w:type="character" w:customStyle="1" w:styleId="Accentcolour5">
    <w:name w:val="*Accent colour 5"/>
    <w:basedOn w:val="DefaultParagraphFont"/>
    <w:uiPriority w:val="99"/>
    <w:qFormat/>
    <w:rsid w:val="00881D34"/>
    <w:rPr>
      <w:color w:val="C9C9C9" w:themeColor="accent5"/>
    </w:rPr>
  </w:style>
  <w:style w:type="character" w:customStyle="1" w:styleId="Accentcolour5bold">
    <w:name w:val="*Accent colour 5 (bold)"/>
    <w:basedOn w:val="Accentcolour5"/>
    <w:uiPriority w:val="99"/>
    <w:qFormat/>
    <w:rsid w:val="00881D34"/>
    <w:rPr>
      <w:b/>
      <w:color w:val="C9C9C9" w:themeColor="accent5"/>
    </w:rPr>
  </w:style>
  <w:style w:type="character" w:customStyle="1" w:styleId="Accentcolour6">
    <w:name w:val="*Accent colour 6"/>
    <w:basedOn w:val="DefaultParagraphFont"/>
    <w:uiPriority w:val="99"/>
    <w:qFormat/>
    <w:rsid w:val="00881D34"/>
    <w:rPr>
      <w:color w:val="EDEDED" w:themeColor="accent6"/>
    </w:rPr>
  </w:style>
  <w:style w:type="character" w:customStyle="1" w:styleId="Accentcolour6bold">
    <w:name w:val="*Accent colour 6 (bold)"/>
    <w:basedOn w:val="Accentcolour6"/>
    <w:uiPriority w:val="99"/>
    <w:qFormat/>
    <w:rsid w:val="00881D34"/>
    <w:rPr>
      <w:b/>
      <w:color w:val="EDEDED" w:themeColor="accent6"/>
    </w:rPr>
  </w:style>
  <w:style w:type="character" w:customStyle="1" w:styleId="ALLCAPS">
    <w:name w:val="*ALL CAPS"/>
    <w:basedOn w:val="DefaultParagraphFont"/>
    <w:uiPriority w:val="99"/>
    <w:qFormat/>
    <w:rsid w:val="00711513"/>
    <w:rPr>
      <w:caps/>
      <w:smallCaps w:val="0"/>
    </w:rPr>
  </w:style>
  <w:style w:type="character" w:customStyle="1" w:styleId="Subscript">
    <w:name w:val="*Subscript"/>
    <w:basedOn w:val="DefaultParagraphFont"/>
    <w:uiPriority w:val="99"/>
    <w:qFormat/>
    <w:rsid w:val="00C9183E"/>
    <w:rPr>
      <w:vertAlign w:val="subscript"/>
    </w:rPr>
  </w:style>
  <w:style w:type="character" w:customStyle="1" w:styleId="Superscript">
    <w:name w:val="*Superscript"/>
    <w:basedOn w:val="DefaultParagraphFont"/>
    <w:uiPriority w:val="99"/>
    <w:qFormat/>
    <w:rsid w:val="00C9183E"/>
    <w:rPr>
      <w:vertAlign w:val="superscript"/>
    </w:rPr>
  </w:style>
  <w:style w:type="paragraph" w:styleId="Quote">
    <w:name w:val="Quote"/>
    <w:basedOn w:val="BodyText"/>
    <w:next w:val="Normal"/>
    <w:link w:val="QuoteChar"/>
    <w:uiPriority w:val="2"/>
    <w:qFormat/>
    <w:rsid w:val="007C3AC2"/>
    <w:pPr>
      <w:framePr w:w="3402" w:hSpace="454" w:wrap="around" w:vAnchor="text" w:hAnchor="margin" w:xAlign="right" w:y="1"/>
      <w:pBdr>
        <w:top w:val="dotted" w:sz="6" w:space="12" w:color="auto"/>
        <w:bottom w:val="dotted" w:sz="6" w:space="4" w:color="auto"/>
      </w:pBdr>
      <w:spacing w:after="160" w:line="264" w:lineRule="auto"/>
    </w:pPr>
    <w:rPr>
      <w:b/>
      <w:bCs/>
      <w:sz w:val="24"/>
      <w:szCs w:val="24"/>
    </w:rPr>
  </w:style>
  <w:style w:type="character" w:customStyle="1" w:styleId="QuoteChar">
    <w:name w:val="Quote Char"/>
    <w:basedOn w:val="DefaultParagraphFont"/>
    <w:link w:val="Quote"/>
    <w:uiPriority w:val="2"/>
    <w:rsid w:val="00992B5A"/>
    <w:rPr>
      <w:b/>
      <w:bCs/>
      <w:noProof/>
      <w:color w:val="767676" w:themeColor="accent6" w:themeShade="80"/>
      <w:sz w:val="24"/>
      <w:szCs w:val="24"/>
      <w:lang w:val="en-GB"/>
    </w:rPr>
  </w:style>
  <w:style w:type="paragraph" w:customStyle="1" w:styleId="Tablenotesorsource">
    <w:name w:val="Table notes or source"/>
    <w:basedOn w:val="BodyText"/>
    <w:uiPriority w:val="2"/>
    <w:qFormat/>
    <w:rsid w:val="00A47758"/>
    <w:pPr>
      <w:numPr>
        <w:numId w:val="3"/>
      </w:numPr>
    </w:pPr>
    <w:rPr>
      <w:sz w:val="16"/>
      <w:szCs w:val="16"/>
    </w:rPr>
  </w:style>
  <w:style w:type="paragraph" w:customStyle="1" w:styleId="Tablenotenumbers">
    <w:name w:val="Table note numbers"/>
    <w:basedOn w:val="BodyText"/>
    <w:uiPriority w:val="2"/>
    <w:qFormat/>
    <w:rsid w:val="003708B5"/>
    <w:pPr>
      <w:numPr>
        <w:ilvl w:val="1"/>
        <w:numId w:val="3"/>
      </w:numPr>
      <w:spacing w:before="40" w:after="40"/>
    </w:pPr>
    <w:rPr>
      <w:b/>
      <w:szCs w:val="16"/>
    </w:rPr>
  </w:style>
  <w:style w:type="character" w:customStyle="1" w:styleId="Whitetext">
    <w:name w:val="*White text"/>
    <w:basedOn w:val="DefaultParagraphFont"/>
    <w:uiPriority w:val="99"/>
    <w:qFormat/>
    <w:rsid w:val="00D1184B"/>
    <w:rPr>
      <w:color w:val="FFFFFF" w:themeColor="background1"/>
    </w:rPr>
  </w:style>
  <w:style w:type="paragraph" w:styleId="ListNumber">
    <w:name w:val="List Number"/>
    <w:basedOn w:val="Normal"/>
    <w:qFormat/>
    <w:rsid w:val="00817001"/>
    <w:pPr>
      <w:numPr>
        <w:numId w:val="4"/>
      </w:numPr>
      <w:contextualSpacing/>
    </w:pPr>
  </w:style>
  <w:style w:type="paragraph" w:styleId="ListNumber2">
    <w:name w:val="List Number 2"/>
    <w:basedOn w:val="Normal"/>
    <w:semiHidden/>
    <w:qFormat/>
    <w:rsid w:val="00817001"/>
    <w:pPr>
      <w:numPr>
        <w:ilvl w:val="1"/>
        <w:numId w:val="4"/>
      </w:numPr>
      <w:contextualSpacing/>
    </w:pPr>
  </w:style>
  <w:style w:type="paragraph" w:styleId="ListNumber3">
    <w:name w:val="List Number 3"/>
    <w:basedOn w:val="Normal"/>
    <w:semiHidden/>
    <w:qFormat/>
    <w:rsid w:val="00817001"/>
    <w:pPr>
      <w:numPr>
        <w:ilvl w:val="2"/>
        <w:numId w:val="4"/>
      </w:numPr>
      <w:contextualSpacing/>
    </w:pPr>
  </w:style>
  <w:style w:type="character" w:customStyle="1" w:styleId="Companyfooter">
    <w:name w:val="*Company footer"/>
    <w:basedOn w:val="Accentcolour1bold"/>
    <w:uiPriority w:val="99"/>
    <w:qFormat/>
    <w:rsid w:val="00204D77"/>
    <w:rPr>
      <w:b/>
      <w:caps/>
      <w:color w:val="000000" w:themeColor="accent1"/>
    </w:rPr>
  </w:style>
  <w:style w:type="paragraph" w:customStyle="1" w:styleId="Indent">
    <w:name w:val="Indent"/>
    <w:basedOn w:val="Subpara1"/>
    <w:uiPriority w:val="1"/>
    <w:qFormat/>
    <w:rsid w:val="00550D76"/>
    <w:pPr>
      <w:numPr>
        <w:ilvl w:val="4"/>
      </w:numPr>
    </w:pPr>
  </w:style>
  <w:style w:type="paragraph" w:customStyle="1" w:styleId="Indent2">
    <w:name w:val="Indent 2"/>
    <w:basedOn w:val="Subpara1"/>
    <w:uiPriority w:val="1"/>
    <w:qFormat/>
    <w:rsid w:val="00550D76"/>
    <w:pPr>
      <w:numPr>
        <w:ilvl w:val="6"/>
      </w:numPr>
    </w:pPr>
  </w:style>
  <w:style w:type="paragraph" w:customStyle="1" w:styleId="Indent3">
    <w:name w:val="Indent 3"/>
    <w:basedOn w:val="Subpara3"/>
    <w:uiPriority w:val="1"/>
    <w:qFormat/>
    <w:rsid w:val="00550D76"/>
    <w:pPr>
      <w:numPr>
        <w:ilvl w:val="8"/>
      </w:numPr>
    </w:pPr>
  </w:style>
  <w:style w:type="table" w:customStyle="1" w:styleId="CATable">
    <w:name w:val="CA_Table"/>
    <w:basedOn w:val="TableNormal"/>
    <w:uiPriority w:val="99"/>
    <w:rsid w:val="00C956EF"/>
    <w:pPr>
      <w:spacing w:after="0" w:line="240" w:lineRule="auto"/>
    </w:p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EDEDED" w:themeFill="accent6"/>
    </w:tcPr>
    <w:tblStylePr w:type="firstRow">
      <w:pPr>
        <w:jc w:val="left"/>
      </w:pPr>
      <w:rPr>
        <w:b w:val="0"/>
        <w:caps w:val="0"/>
        <w:smallCaps w:val="0"/>
        <w:color w:val="auto"/>
      </w:rPr>
      <w:tblPr/>
      <w:trPr>
        <w:tblHeader/>
      </w:trPr>
      <w:tcPr>
        <w:shd w:val="clear" w:color="auto" w:fill="3F3F3F" w:themeFill="accent2"/>
        <w:vAlign w:val="bottom"/>
      </w:tcPr>
    </w:tblStylePr>
    <w:tblStylePr w:type="lastRow">
      <w:rPr>
        <w:b/>
      </w:rPr>
    </w:tblStylePr>
  </w:style>
  <w:style w:type="paragraph" w:customStyle="1" w:styleId="AppendixPara1">
    <w:name w:val="Appendix Para 1"/>
    <w:basedOn w:val="Subpara1"/>
    <w:next w:val="BodyText"/>
    <w:uiPriority w:val="3"/>
    <w:qFormat/>
    <w:rsid w:val="00B54960"/>
    <w:pPr>
      <w:numPr>
        <w:numId w:val="2"/>
      </w:numPr>
    </w:pPr>
  </w:style>
  <w:style w:type="paragraph" w:customStyle="1" w:styleId="AppendixPara2">
    <w:name w:val="Appendix Para 2"/>
    <w:basedOn w:val="Subpara2"/>
    <w:next w:val="BodyText"/>
    <w:uiPriority w:val="3"/>
    <w:qFormat/>
    <w:rsid w:val="00B54960"/>
    <w:pPr>
      <w:numPr>
        <w:numId w:val="2"/>
      </w:numPr>
    </w:pPr>
  </w:style>
  <w:style w:type="paragraph" w:customStyle="1" w:styleId="AppendixPara3">
    <w:name w:val="Appendix Para 3"/>
    <w:basedOn w:val="Subpara3"/>
    <w:next w:val="BodyText"/>
    <w:uiPriority w:val="3"/>
    <w:qFormat/>
    <w:rsid w:val="00B54960"/>
    <w:pPr>
      <w:numPr>
        <w:numId w:val="2"/>
      </w:numPr>
    </w:pPr>
  </w:style>
  <w:style w:type="paragraph" w:customStyle="1" w:styleId="AppendixIndent">
    <w:name w:val="Appendix Indent"/>
    <w:basedOn w:val="Indent"/>
    <w:next w:val="BodyText"/>
    <w:uiPriority w:val="3"/>
    <w:qFormat/>
    <w:rsid w:val="00B54960"/>
    <w:pPr>
      <w:numPr>
        <w:numId w:val="2"/>
      </w:numPr>
    </w:pPr>
  </w:style>
  <w:style w:type="paragraph" w:customStyle="1" w:styleId="AppendixIndent2">
    <w:name w:val="Appendix Indent 2"/>
    <w:basedOn w:val="Indent2"/>
    <w:next w:val="BodyText"/>
    <w:uiPriority w:val="3"/>
    <w:qFormat/>
    <w:rsid w:val="00B54960"/>
    <w:pPr>
      <w:numPr>
        <w:numId w:val="2"/>
      </w:numPr>
    </w:pPr>
  </w:style>
  <w:style w:type="paragraph" w:customStyle="1" w:styleId="AppendixIndent3">
    <w:name w:val="Appendix Indent 3"/>
    <w:basedOn w:val="Indent3"/>
    <w:next w:val="BodyText"/>
    <w:uiPriority w:val="3"/>
    <w:qFormat/>
    <w:rsid w:val="00B54960"/>
    <w:pPr>
      <w:numPr>
        <w:numId w:val="2"/>
      </w:numPr>
    </w:pPr>
  </w:style>
  <w:style w:type="paragraph" w:styleId="NormalIndent">
    <w:name w:val="Normal Indent"/>
    <w:basedOn w:val="Normal"/>
    <w:qFormat/>
    <w:rsid w:val="00550D76"/>
    <w:pPr>
      <w:ind w:left="851"/>
    </w:pPr>
  </w:style>
  <w:style w:type="paragraph" w:customStyle="1" w:styleId="Headerfollowingpage">
    <w:name w:val="Header (following page)"/>
    <w:basedOn w:val="Header"/>
    <w:qFormat/>
    <w:rsid w:val="003204F2"/>
    <w:pPr>
      <w:spacing w:after="2160"/>
    </w:pPr>
  </w:style>
  <w:style w:type="paragraph" w:styleId="BalloonText">
    <w:name w:val="Balloon Text"/>
    <w:basedOn w:val="Normal"/>
    <w:link w:val="BalloonTextChar"/>
    <w:uiPriority w:val="99"/>
    <w:semiHidden/>
    <w:unhideWhenUsed/>
    <w:rsid w:val="00D24B8E"/>
    <w:pPr>
      <w:spacing w:before="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24B8E"/>
    <w:rPr>
      <w:rFonts w:ascii="Segoe UI" w:hAnsi="Segoe UI" w:cs="Segoe UI"/>
      <w:sz w:val="18"/>
      <w:szCs w:val="18"/>
      <w:lang w:val="en-GB"/>
    </w:rPr>
  </w:style>
  <w:style w:type="paragraph" w:styleId="CommentText">
    <w:name w:val="annotation text"/>
    <w:basedOn w:val="Normal"/>
    <w:link w:val="CommentTextChar"/>
    <w:uiPriority w:val="99"/>
    <w:rsid w:val="00255E4F"/>
    <w:pPr>
      <w:spacing w:before="0" w:line="240" w:lineRule="auto"/>
    </w:pPr>
    <w:rPr>
      <w:rFonts w:ascii="Arial" w:eastAsia="Times New Roman" w:hAnsi="Arial" w:cs="Times New Roman"/>
      <w:color w:val="595959" w:themeColor="text1" w:themeTint="A6"/>
      <w:szCs w:val="20"/>
      <w:lang w:val="x-none" w:eastAsia="en-AU"/>
    </w:rPr>
  </w:style>
  <w:style w:type="character" w:customStyle="1" w:styleId="CommentTextChar">
    <w:name w:val="Comment Text Char"/>
    <w:basedOn w:val="DefaultParagraphFont"/>
    <w:link w:val="CommentText"/>
    <w:uiPriority w:val="99"/>
    <w:rsid w:val="00255E4F"/>
    <w:rPr>
      <w:rFonts w:ascii="Arial" w:eastAsia="Times New Roman" w:hAnsi="Arial" w:cs="Times New Roman"/>
      <w:color w:val="595959" w:themeColor="text1" w:themeTint="A6"/>
      <w:sz w:val="20"/>
      <w:szCs w:val="20"/>
      <w:lang w:val="x-none" w:eastAsia="en-AU"/>
    </w:rPr>
  </w:style>
  <w:style w:type="character" w:styleId="CommentReference">
    <w:name w:val="annotation reference"/>
    <w:uiPriority w:val="99"/>
    <w:rsid w:val="00255E4F"/>
    <w:rPr>
      <w:sz w:val="16"/>
      <w:szCs w:val="16"/>
    </w:rPr>
  </w:style>
  <w:style w:type="character" w:customStyle="1" w:styleId="ListParagraphChar">
    <w:name w:val="List Paragraph Char"/>
    <w:basedOn w:val="DefaultParagraphFont"/>
    <w:link w:val="ListParagraph"/>
    <w:uiPriority w:val="34"/>
    <w:rsid w:val="00255E4F"/>
    <w:rPr>
      <w:sz w:val="20"/>
      <w:szCs w:val="18"/>
      <w:lang w:val="en-GB"/>
    </w:rPr>
  </w:style>
  <w:style w:type="table" w:customStyle="1" w:styleId="TableGrid11">
    <w:name w:val="Table Grid11"/>
    <w:basedOn w:val="TableNormal"/>
    <w:rsid w:val="00605AC3"/>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336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E5B59"/>
    <w:pPr>
      <w:spacing w:before="160"/>
    </w:pPr>
    <w:rPr>
      <w:rFonts w:asciiTheme="minorHAnsi" w:eastAsiaTheme="minorHAnsi" w:hAnsiTheme="minorHAnsi" w:cstheme="minorBidi"/>
      <w:b/>
      <w:bCs/>
      <w:color w:val="auto"/>
      <w:lang w:val="en-GB" w:eastAsia="en-US"/>
    </w:rPr>
  </w:style>
  <w:style w:type="character" w:customStyle="1" w:styleId="CommentSubjectChar">
    <w:name w:val="Comment Subject Char"/>
    <w:basedOn w:val="CommentTextChar"/>
    <w:link w:val="CommentSubject"/>
    <w:uiPriority w:val="99"/>
    <w:semiHidden/>
    <w:rsid w:val="00EE5B59"/>
    <w:rPr>
      <w:rFonts w:ascii="Arial" w:eastAsia="Times New Roman" w:hAnsi="Arial" w:cs="Times New Roman"/>
      <w:b/>
      <w:bCs/>
      <w:color w:val="595959" w:themeColor="text1" w:themeTint="A6"/>
      <w:sz w:val="20"/>
      <w:szCs w:val="20"/>
      <w:lang w:val="en-GB" w:eastAsia="en-AU"/>
    </w:rPr>
  </w:style>
  <w:style w:type="character" w:customStyle="1" w:styleId="AddressdetailsChar">
    <w:name w:val="Address details Char"/>
    <w:basedOn w:val="DefaultParagraphFont"/>
    <w:link w:val="Addressdetails"/>
    <w:locked/>
    <w:rsid w:val="007543B0"/>
    <w:rPr>
      <w:rFonts w:ascii="Times New Roman" w:eastAsiaTheme="minorEastAsia" w:hAnsi="Times New Roman" w:cs="Times New Roman"/>
      <w:color w:val="000000" w:themeColor="text1"/>
      <w:sz w:val="18"/>
      <w:szCs w:val="20"/>
    </w:rPr>
  </w:style>
  <w:style w:type="paragraph" w:customStyle="1" w:styleId="Addressdetails">
    <w:name w:val="Address details"/>
    <w:basedOn w:val="Normal"/>
    <w:link w:val="AddressdetailsChar"/>
    <w:qFormat/>
    <w:rsid w:val="007543B0"/>
    <w:pPr>
      <w:spacing w:before="0" w:line="240" w:lineRule="auto"/>
    </w:pPr>
    <w:rPr>
      <w:rFonts w:ascii="Times New Roman" w:eastAsiaTheme="minorEastAsia" w:hAnsi="Times New Roman" w:cs="Times New Roman"/>
      <w:color w:val="000000" w:themeColor="text1"/>
      <w:sz w:val="18"/>
      <w:szCs w:val="20"/>
      <w:lang w:val="en-AU"/>
    </w:rPr>
  </w:style>
  <w:style w:type="table" w:customStyle="1" w:styleId="TableGrid1">
    <w:name w:val="Table Grid1"/>
    <w:basedOn w:val="TableNormal"/>
    <w:uiPriority w:val="39"/>
    <w:rsid w:val="007543B0"/>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5318"/>
    <w:rPr>
      <w:color w:val="605E5C"/>
      <w:shd w:val="clear" w:color="auto" w:fill="E1DFDD"/>
    </w:rPr>
  </w:style>
  <w:style w:type="paragraph" w:customStyle="1" w:styleId="Default">
    <w:name w:val="Default"/>
    <w:rsid w:val="009C524D"/>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CB6E1E"/>
    <w:pPr>
      <w:widowControl w:val="0"/>
      <w:autoSpaceDE w:val="0"/>
      <w:autoSpaceDN w:val="0"/>
      <w:spacing w:before="0" w:line="240" w:lineRule="auto"/>
      <w:ind w:left="108"/>
    </w:pPr>
    <w:rPr>
      <w:rFonts w:ascii="Arial" w:eastAsia="Arial" w:hAnsi="Arial" w:cs="Arial"/>
      <w:sz w:val="22"/>
      <w:szCs w:val="22"/>
      <w:lang w:val="en-AU" w:eastAsia="en-AU" w:bidi="en-AU"/>
    </w:rPr>
  </w:style>
  <w:style w:type="character" w:customStyle="1" w:styleId="eop">
    <w:name w:val="eop"/>
    <w:basedOn w:val="DefaultParagraphFont"/>
    <w:rsid w:val="00A631F9"/>
  </w:style>
  <w:style w:type="paragraph" w:styleId="Revision">
    <w:name w:val="Revision"/>
    <w:hidden/>
    <w:uiPriority w:val="99"/>
    <w:semiHidden/>
    <w:rsid w:val="00F703B1"/>
    <w:pPr>
      <w:spacing w:after="0" w:line="240" w:lineRule="auto"/>
    </w:pPr>
    <w:rPr>
      <w:sz w:val="20"/>
      <w:szCs w:val="18"/>
      <w:lang w:val="en-GB"/>
    </w:rPr>
  </w:style>
  <w:style w:type="paragraph" w:customStyle="1" w:styleId="Tablelistbullet">
    <w:name w:val="Table list bullet"/>
    <w:basedOn w:val="Tabletext"/>
    <w:qFormat/>
    <w:rsid w:val="00CB7016"/>
    <w:pPr>
      <w:numPr>
        <w:numId w:val="6"/>
      </w:numPr>
      <w:ind w:left="227" w:hanging="227"/>
    </w:pPr>
  </w:style>
  <w:style w:type="paragraph" w:styleId="NormalWeb">
    <w:name w:val="Normal (Web)"/>
    <w:basedOn w:val="Normal"/>
    <w:uiPriority w:val="99"/>
    <w:unhideWhenUsed/>
    <w:rsid w:val="0073111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7333">
      <w:bodyDiv w:val="1"/>
      <w:marLeft w:val="0"/>
      <w:marRight w:val="0"/>
      <w:marTop w:val="0"/>
      <w:marBottom w:val="0"/>
      <w:divBdr>
        <w:top w:val="none" w:sz="0" w:space="0" w:color="auto"/>
        <w:left w:val="none" w:sz="0" w:space="0" w:color="auto"/>
        <w:bottom w:val="none" w:sz="0" w:space="0" w:color="auto"/>
        <w:right w:val="none" w:sz="0" w:space="0" w:color="auto"/>
      </w:divBdr>
    </w:div>
    <w:div w:id="291251004">
      <w:bodyDiv w:val="1"/>
      <w:marLeft w:val="0"/>
      <w:marRight w:val="0"/>
      <w:marTop w:val="0"/>
      <w:marBottom w:val="0"/>
      <w:divBdr>
        <w:top w:val="none" w:sz="0" w:space="0" w:color="auto"/>
        <w:left w:val="none" w:sz="0" w:space="0" w:color="auto"/>
        <w:bottom w:val="none" w:sz="0" w:space="0" w:color="auto"/>
        <w:right w:val="none" w:sz="0" w:space="0" w:color="auto"/>
      </w:divBdr>
      <w:divsChild>
        <w:div w:id="384914829">
          <w:marLeft w:val="547"/>
          <w:marRight w:val="0"/>
          <w:marTop w:val="0"/>
          <w:marBottom w:val="0"/>
          <w:divBdr>
            <w:top w:val="none" w:sz="0" w:space="0" w:color="auto"/>
            <w:left w:val="none" w:sz="0" w:space="0" w:color="auto"/>
            <w:bottom w:val="none" w:sz="0" w:space="0" w:color="auto"/>
            <w:right w:val="none" w:sz="0" w:space="0" w:color="auto"/>
          </w:divBdr>
        </w:div>
      </w:divsChild>
    </w:div>
    <w:div w:id="324893646">
      <w:bodyDiv w:val="1"/>
      <w:marLeft w:val="0"/>
      <w:marRight w:val="0"/>
      <w:marTop w:val="0"/>
      <w:marBottom w:val="0"/>
      <w:divBdr>
        <w:top w:val="none" w:sz="0" w:space="0" w:color="auto"/>
        <w:left w:val="none" w:sz="0" w:space="0" w:color="auto"/>
        <w:bottom w:val="none" w:sz="0" w:space="0" w:color="auto"/>
        <w:right w:val="none" w:sz="0" w:space="0" w:color="auto"/>
      </w:divBdr>
    </w:div>
    <w:div w:id="375282310">
      <w:bodyDiv w:val="1"/>
      <w:marLeft w:val="0"/>
      <w:marRight w:val="0"/>
      <w:marTop w:val="0"/>
      <w:marBottom w:val="0"/>
      <w:divBdr>
        <w:top w:val="none" w:sz="0" w:space="0" w:color="auto"/>
        <w:left w:val="none" w:sz="0" w:space="0" w:color="auto"/>
        <w:bottom w:val="none" w:sz="0" w:space="0" w:color="auto"/>
        <w:right w:val="none" w:sz="0" w:space="0" w:color="auto"/>
      </w:divBdr>
    </w:div>
    <w:div w:id="1075471644">
      <w:bodyDiv w:val="1"/>
      <w:marLeft w:val="0"/>
      <w:marRight w:val="0"/>
      <w:marTop w:val="0"/>
      <w:marBottom w:val="0"/>
      <w:divBdr>
        <w:top w:val="none" w:sz="0" w:space="0" w:color="auto"/>
        <w:left w:val="none" w:sz="0" w:space="0" w:color="auto"/>
        <w:bottom w:val="none" w:sz="0" w:space="0" w:color="auto"/>
        <w:right w:val="none" w:sz="0" w:space="0" w:color="auto"/>
      </w:divBdr>
    </w:div>
    <w:div w:id="1241059820">
      <w:bodyDiv w:val="1"/>
      <w:marLeft w:val="0"/>
      <w:marRight w:val="0"/>
      <w:marTop w:val="0"/>
      <w:marBottom w:val="0"/>
      <w:divBdr>
        <w:top w:val="none" w:sz="0" w:space="0" w:color="auto"/>
        <w:left w:val="none" w:sz="0" w:space="0" w:color="auto"/>
        <w:bottom w:val="none" w:sz="0" w:space="0" w:color="auto"/>
        <w:right w:val="none" w:sz="0" w:space="0" w:color="auto"/>
      </w:divBdr>
    </w:div>
    <w:div w:id="1340353704">
      <w:bodyDiv w:val="1"/>
      <w:marLeft w:val="0"/>
      <w:marRight w:val="0"/>
      <w:marTop w:val="0"/>
      <w:marBottom w:val="0"/>
      <w:divBdr>
        <w:top w:val="none" w:sz="0" w:space="0" w:color="auto"/>
        <w:left w:val="none" w:sz="0" w:space="0" w:color="auto"/>
        <w:bottom w:val="none" w:sz="0" w:space="0" w:color="auto"/>
        <w:right w:val="none" w:sz="0" w:space="0" w:color="auto"/>
      </w:divBdr>
    </w:div>
    <w:div w:id="1467623947">
      <w:bodyDiv w:val="1"/>
      <w:marLeft w:val="0"/>
      <w:marRight w:val="0"/>
      <w:marTop w:val="0"/>
      <w:marBottom w:val="0"/>
      <w:divBdr>
        <w:top w:val="none" w:sz="0" w:space="0" w:color="auto"/>
        <w:left w:val="none" w:sz="0" w:space="0" w:color="auto"/>
        <w:bottom w:val="none" w:sz="0" w:space="0" w:color="auto"/>
        <w:right w:val="none" w:sz="0" w:space="0" w:color="auto"/>
      </w:divBdr>
    </w:div>
    <w:div w:id="1467625044">
      <w:bodyDiv w:val="1"/>
      <w:marLeft w:val="0"/>
      <w:marRight w:val="0"/>
      <w:marTop w:val="0"/>
      <w:marBottom w:val="0"/>
      <w:divBdr>
        <w:top w:val="none" w:sz="0" w:space="0" w:color="auto"/>
        <w:left w:val="none" w:sz="0" w:space="0" w:color="auto"/>
        <w:bottom w:val="none" w:sz="0" w:space="0" w:color="auto"/>
        <w:right w:val="none" w:sz="0" w:space="0" w:color="auto"/>
      </w:divBdr>
    </w:div>
    <w:div w:id="1594437997">
      <w:bodyDiv w:val="1"/>
      <w:marLeft w:val="0"/>
      <w:marRight w:val="0"/>
      <w:marTop w:val="0"/>
      <w:marBottom w:val="0"/>
      <w:divBdr>
        <w:top w:val="none" w:sz="0" w:space="0" w:color="auto"/>
        <w:left w:val="none" w:sz="0" w:space="0" w:color="auto"/>
        <w:bottom w:val="none" w:sz="0" w:space="0" w:color="auto"/>
        <w:right w:val="none" w:sz="0" w:space="0" w:color="auto"/>
      </w:divBdr>
    </w:div>
    <w:div w:id="1677687086">
      <w:bodyDiv w:val="1"/>
      <w:marLeft w:val="0"/>
      <w:marRight w:val="0"/>
      <w:marTop w:val="0"/>
      <w:marBottom w:val="0"/>
      <w:divBdr>
        <w:top w:val="none" w:sz="0" w:space="0" w:color="auto"/>
        <w:left w:val="none" w:sz="0" w:space="0" w:color="auto"/>
        <w:bottom w:val="none" w:sz="0" w:space="0" w:color="auto"/>
        <w:right w:val="none" w:sz="0" w:space="0" w:color="auto"/>
      </w:divBdr>
    </w:div>
    <w:div w:id="1743410236">
      <w:bodyDiv w:val="1"/>
      <w:marLeft w:val="0"/>
      <w:marRight w:val="0"/>
      <w:marTop w:val="0"/>
      <w:marBottom w:val="0"/>
      <w:divBdr>
        <w:top w:val="none" w:sz="0" w:space="0" w:color="auto"/>
        <w:left w:val="none" w:sz="0" w:space="0" w:color="auto"/>
        <w:bottom w:val="none" w:sz="0" w:space="0" w:color="auto"/>
        <w:right w:val="none" w:sz="0" w:space="0" w:color="auto"/>
      </w:divBdr>
    </w:div>
    <w:div w:id="2002847523">
      <w:bodyDiv w:val="1"/>
      <w:marLeft w:val="0"/>
      <w:marRight w:val="0"/>
      <w:marTop w:val="0"/>
      <w:marBottom w:val="0"/>
      <w:divBdr>
        <w:top w:val="none" w:sz="0" w:space="0" w:color="auto"/>
        <w:left w:val="none" w:sz="0" w:space="0" w:color="auto"/>
        <w:bottom w:val="none" w:sz="0" w:space="0" w:color="auto"/>
        <w:right w:val="none" w:sz="0" w:space="0" w:color="auto"/>
      </w:divBdr>
    </w:div>
    <w:div w:id="20463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2D2322BAE473A90D14BA4395B3848"/>
        <w:category>
          <w:name w:val="General"/>
          <w:gallery w:val="placeholder"/>
        </w:category>
        <w:types>
          <w:type w:val="bbPlcHdr"/>
        </w:types>
        <w:behaviors>
          <w:behavior w:val="content"/>
        </w:behaviors>
        <w:guid w:val="{DF5344B7-8E32-47E3-BA64-0FE56715BF26}"/>
      </w:docPartPr>
      <w:docPartBody>
        <w:p w:rsidR="001847FB" w:rsidRDefault="001847FB">
          <w:pPr>
            <w:pStyle w:val="E382D2322BAE473A90D14BA4395B3848"/>
          </w:pPr>
          <w:r w:rsidRPr="00180FEA">
            <w:rPr>
              <w:rStyle w:val="PlaceholderText"/>
            </w:rPr>
            <w:t>[Title]</w:t>
          </w:r>
        </w:p>
      </w:docPartBody>
    </w:docPart>
    <w:docPart>
      <w:docPartPr>
        <w:name w:val="4BC98D8F8C444395AD54576A334CE9ED"/>
        <w:category>
          <w:name w:val="General"/>
          <w:gallery w:val="placeholder"/>
        </w:category>
        <w:types>
          <w:type w:val="bbPlcHdr"/>
        </w:types>
        <w:behaviors>
          <w:behavior w:val="content"/>
        </w:behaviors>
        <w:guid w:val="{163DDC47-2CDD-4776-BF43-37DB6669AEA8}"/>
      </w:docPartPr>
      <w:docPartBody>
        <w:p w:rsidR="001847FB" w:rsidRDefault="001847FB">
          <w:pPr>
            <w:pStyle w:val="4BC98D8F8C444395AD54576A334CE9ED"/>
          </w:pPr>
          <w:r w:rsidRPr="00395890">
            <w:rPr>
              <w:rStyle w:val="PlaceholderText"/>
            </w:rPr>
            <w:t>[Subject]</w:t>
          </w:r>
        </w:p>
      </w:docPartBody>
    </w:docPart>
    <w:docPart>
      <w:docPartPr>
        <w:name w:val="C99CCECF727443648887015DCAA664B5"/>
        <w:category>
          <w:name w:val="General"/>
          <w:gallery w:val="placeholder"/>
        </w:category>
        <w:types>
          <w:type w:val="bbPlcHdr"/>
        </w:types>
        <w:behaviors>
          <w:behavior w:val="content"/>
        </w:behaviors>
        <w:guid w:val="{BA2FEC79-AABB-47D8-9EF2-4E13FD7DE615}"/>
      </w:docPartPr>
      <w:docPartBody>
        <w:p w:rsidR="001847FB" w:rsidRDefault="001847FB">
          <w:pPr>
            <w:pStyle w:val="C99CCECF727443648887015DCAA664B5"/>
          </w:pPr>
          <w:r w:rsidRPr="00395890">
            <w:rPr>
              <w:rStyle w:val="PlaceholderText"/>
            </w:rPr>
            <w:t>[Status]</w:t>
          </w:r>
        </w:p>
      </w:docPartBody>
    </w:docPart>
    <w:docPart>
      <w:docPartPr>
        <w:name w:val="8DF9D409374844EDABDEB479774B351E"/>
        <w:category>
          <w:name w:val="General"/>
          <w:gallery w:val="placeholder"/>
        </w:category>
        <w:types>
          <w:type w:val="bbPlcHdr"/>
        </w:types>
        <w:behaviors>
          <w:behavior w:val="content"/>
        </w:behaviors>
        <w:guid w:val="{BE79A47B-C750-4FA7-850E-BE96118941EC}"/>
      </w:docPartPr>
      <w:docPartBody>
        <w:p w:rsidR="009B65CA" w:rsidRDefault="008424E9" w:rsidP="008424E9">
          <w:pPr>
            <w:pStyle w:val="8DF9D409374844EDABDEB479774B351E"/>
          </w:pPr>
          <w:r w:rsidRPr="007770E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B"/>
    <w:rsid w:val="00032D28"/>
    <w:rsid w:val="000503D5"/>
    <w:rsid w:val="000F666E"/>
    <w:rsid w:val="001207C8"/>
    <w:rsid w:val="0012280F"/>
    <w:rsid w:val="00130171"/>
    <w:rsid w:val="001557F6"/>
    <w:rsid w:val="001847FB"/>
    <w:rsid w:val="001A21A5"/>
    <w:rsid w:val="001D21D9"/>
    <w:rsid w:val="001D7E38"/>
    <w:rsid w:val="00242FD4"/>
    <w:rsid w:val="002559A1"/>
    <w:rsid w:val="002B0A75"/>
    <w:rsid w:val="002B3DA6"/>
    <w:rsid w:val="002C58B2"/>
    <w:rsid w:val="002F1575"/>
    <w:rsid w:val="00326AAB"/>
    <w:rsid w:val="00377F9C"/>
    <w:rsid w:val="00394D06"/>
    <w:rsid w:val="00402C85"/>
    <w:rsid w:val="00403125"/>
    <w:rsid w:val="004B6705"/>
    <w:rsid w:val="005171DE"/>
    <w:rsid w:val="005A7B05"/>
    <w:rsid w:val="006F18FE"/>
    <w:rsid w:val="00704627"/>
    <w:rsid w:val="0079208C"/>
    <w:rsid w:val="007E5B7A"/>
    <w:rsid w:val="008424E9"/>
    <w:rsid w:val="00892490"/>
    <w:rsid w:val="00905F09"/>
    <w:rsid w:val="00914032"/>
    <w:rsid w:val="00972A62"/>
    <w:rsid w:val="0099312F"/>
    <w:rsid w:val="009B65CA"/>
    <w:rsid w:val="009D0B63"/>
    <w:rsid w:val="009E0A3E"/>
    <w:rsid w:val="009E30CA"/>
    <w:rsid w:val="00A266B8"/>
    <w:rsid w:val="00A44C3C"/>
    <w:rsid w:val="00A467AA"/>
    <w:rsid w:val="00A55007"/>
    <w:rsid w:val="00A61C3A"/>
    <w:rsid w:val="00AD1B5E"/>
    <w:rsid w:val="00BB2846"/>
    <w:rsid w:val="00C02400"/>
    <w:rsid w:val="00C559CC"/>
    <w:rsid w:val="00D57ECC"/>
    <w:rsid w:val="00DC7BA8"/>
    <w:rsid w:val="00DF3B09"/>
    <w:rsid w:val="00DF45A0"/>
    <w:rsid w:val="00E327BF"/>
    <w:rsid w:val="00E81EF3"/>
    <w:rsid w:val="00EA2455"/>
    <w:rsid w:val="00F17B1C"/>
    <w:rsid w:val="00F37E60"/>
    <w:rsid w:val="00FB1C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4E9"/>
    <w:rPr>
      <w:color w:val="808080"/>
    </w:rPr>
  </w:style>
  <w:style w:type="paragraph" w:customStyle="1" w:styleId="E382D2322BAE473A90D14BA4395B3848">
    <w:name w:val="E382D2322BAE473A90D14BA4395B3848"/>
  </w:style>
  <w:style w:type="paragraph" w:customStyle="1" w:styleId="4BC98D8F8C444395AD54576A334CE9ED">
    <w:name w:val="4BC98D8F8C444395AD54576A334CE9ED"/>
  </w:style>
  <w:style w:type="paragraph" w:customStyle="1" w:styleId="C99CCECF727443648887015DCAA664B5">
    <w:name w:val="C99CCECF727443648887015DCAA664B5"/>
  </w:style>
  <w:style w:type="paragraph" w:customStyle="1" w:styleId="8DF9D409374844EDABDEB479774B351E">
    <w:name w:val="8DF9D409374844EDABDEB479774B351E"/>
    <w:rsid w:val="008424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berts Pizzarotti_Colours">
      <a:dk1>
        <a:sysClr val="windowText" lastClr="000000"/>
      </a:dk1>
      <a:lt1>
        <a:sysClr val="window" lastClr="FFFFFF"/>
      </a:lt1>
      <a:dk2>
        <a:srgbClr val="000000"/>
      </a:dk2>
      <a:lt2>
        <a:srgbClr val="E7E6E6"/>
      </a:lt2>
      <a:accent1>
        <a:srgbClr val="000000"/>
      </a:accent1>
      <a:accent2>
        <a:srgbClr val="3F3F3F"/>
      </a:accent2>
      <a:accent3>
        <a:srgbClr val="595959"/>
      </a:accent3>
      <a:accent4>
        <a:srgbClr val="7F7F7F"/>
      </a:accent4>
      <a:accent5>
        <a:srgbClr val="C9C9C9"/>
      </a:accent5>
      <a:accent6>
        <a:srgbClr val="EDEDED"/>
      </a:accent6>
      <a:hlink>
        <a:srgbClr val="0563C1"/>
      </a:hlink>
      <a:folHlink>
        <a:srgbClr val="954F72"/>
      </a:folHlink>
    </a:clrScheme>
    <a:fontScheme name="C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lumMod val="50000"/>
            </a:schemeClr>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070155E90AE4CAD4CE7EC0AFEF2FC" ma:contentTypeVersion="27" ma:contentTypeDescription="Create a new document." ma:contentTypeScope="" ma:versionID="66a30b1d9a6e9cd3897b2d659f271457">
  <xsd:schema xmlns:xsd="http://www.w3.org/2001/XMLSchema" xmlns:xs="http://www.w3.org/2001/XMLSchema" xmlns:p="http://schemas.microsoft.com/office/2006/metadata/properties" xmlns:ns2="7519a013-8784-47a6-982b-a35174897f73" xmlns:ns3="399f3fed-e69c-4c67-b421-e39b4ef04cac" targetNamespace="http://schemas.microsoft.com/office/2006/metadata/properties" ma:root="true" ma:fieldsID="0e6d4b3e6ecf352d022c9124757b89a1" ns2:_="" ns3:_="">
    <xsd:import namespace="7519a013-8784-47a6-982b-a35174897f73"/>
    <xsd:import namespace="399f3fed-e69c-4c67-b421-e39b4ef04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wner" minOccurs="0"/>
                <xsd:element ref="ns2:Status" minOccurs="0"/>
                <xsd:element ref="ns2:DocumentType" minOccurs="0"/>
                <xsd:element ref="ns2:AuditDat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ObjectDetectorVersions" minOccurs="0"/>
                <xsd:element ref="ns2:Adviser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9a013-8784-47a6-982b-a35174897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wner" ma:index="12" nillable="true" ma:displayName="Owner" ma:description="Owner of the document"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3" nillable="true" ma:displayName="Status" ma:description="Status of document review process" ma:format="Dropdown" ma:internalName="Status">
      <xsd:simpleType>
        <xsd:restriction base="dms:Choice">
          <xsd:enumeration value="Draft"/>
          <xsd:enumeration value="Approved"/>
          <xsd:enumeration value="Released"/>
          <xsd:enumeration value="New"/>
          <xsd:enumeration value="In Progress"/>
          <xsd:enumeration value="Completed"/>
          <xsd:enumeration value="Final"/>
        </xsd:restriction>
      </xsd:simpleType>
    </xsd:element>
    <xsd:element name="DocumentType" ma:index="14" nillable="true" ma:displayName="Document Type" ma:format="Dropdown" ma:internalName="DocumentType">
      <xsd:simpleType>
        <xsd:restriction base="dms:Choice">
          <xsd:enumeration value="Letter"/>
          <xsd:enumeration value="Notice"/>
          <xsd:enumeration value="Template"/>
          <xsd:enumeration value="Chart"/>
          <xsd:enumeration value="Costing"/>
          <xsd:enumeration value="Correspondence"/>
          <xsd:enumeration value="Application"/>
          <xsd:enumeration value="Matrix"/>
          <xsd:enumeration value="Plan/Framework"/>
          <xsd:enumeration value="Due Diligence"/>
          <xsd:enumeration value="Reference"/>
          <xsd:enumeration value="Choice 12"/>
          <xsd:enumeration value="Audit Report"/>
          <xsd:enumeration value="Choice 14"/>
        </xsd:restriction>
      </xsd:simpleType>
    </xsd:element>
    <xsd:element name="AuditDate" ma:index="15" nillable="true" ma:displayName="Audit Date" ma:description="Date of audit" ma:format="DateOnly" ma:internalName="AuditDate">
      <xsd:simpleType>
        <xsd:restriction base="dms:DateTim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e66ec1-db7b-4da5-988b-4d2f64c5ff94"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dviserName" ma:index="30" nillable="true" ma:displayName="Adviser Name" ma:format="Dropdown" ma:internalName="Adviser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f3fed-e69c-4c67-b421-e39b4ef04ca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2ca90d9-f12c-4496-a662-88932528e738}" ma:internalName="TaxCatchAll" ma:showField="CatchAllData" ma:web="399f3fed-e69c-4c67-b421-e39b4ef04ca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19a013-8784-47a6-982b-a35174897f73">
      <Terms xmlns="http://schemas.microsoft.com/office/infopath/2007/PartnerControls"/>
    </lcf76f155ced4ddcb4097134ff3c332f>
    <AdviserName xmlns="7519a013-8784-47a6-982b-a35174897f73" xsi:nil="true"/>
    <Owner xmlns="7519a013-8784-47a6-982b-a35174897f73">
      <UserInfo>
        <DisplayName/>
        <AccountId xsi:nil="true"/>
        <AccountType/>
      </UserInfo>
    </Owner>
    <Status xmlns="7519a013-8784-47a6-982b-a35174897f73" xsi:nil="true"/>
    <AuditDate xmlns="7519a013-8784-47a6-982b-a35174897f73" xsi:nil="true"/>
    <TaxCatchAll xmlns="399f3fed-e69c-4c67-b421-e39b4ef04cac" xsi:nil="true"/>
    <DocumentType xmlns="7519a013-8784-47a6-982b-a35174897f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23B76-94B2-450D-9509-01EB98B1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9a013-8784-47a6-982b-a35174897f73"/>
    <ds:schemaRef ds:uri="399f3fed-e69c-4c67-b421-e39b4ef04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F0D0-285E-4B35-B892-10D1D31DB5B7}">
  <ds:schemaRefs>
    <ds:schemaRef ds:uri="http://schemas.openxmlformats.org/officeDocument/2006/bibliography"/>
  </ds:schemaRefs>
</ds:datastoreItem>
</file>

<file path=customXml/itemProps3.xml><?xml version="1.0" encoding="utf-8"?>
<ds:datastoreItem xmlns:ds="http://schemas.openxmlformats.org/officeDocument/2006/customXml" ds:itemID="{1D5C862F-3903-4143-8366-A78E566F36DE}">
  <ds:schemaRefs>
    <ds:schemaRef ds:uri="http://schemas.microsoft.com/office/2006/metadata/properties"/>
    <ds:schemaRef ds:uri="http://schemas.microsoft.com/office/infopath/2007/PartnerControls"/>
    <ds:schemaRef ds:uri="7519a013-8784-47a6-982b-a35174897f73"/>
    <ds:schemaRef ds:uri="399f3fed-e69c-4c67-b421-e39b4ef04cac"/>
  </ds:schemaRefs>
</ds:datastoreItem>
</file>

<file path=customXml/itemProps4.xml><?xml version="1.0" encoding="utf-8"?>
<ds:datastoreItem xmlns:ds="http://schemas.openxmlformats.org/officeDocument/2006/customXml" ds:itemID="{F1332E2A-1D3A-4B83-B139-D5072053C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5260</Words>
  <Characters>29984</Characters>
  <Application>Microsoft Office Word</Application>
  <DocSecurity>0</DocSecurity>
  <Lines>249</Lines>
  <Paragraphs>70</Paragraphs>
  <ScaleCrop>false</ScaleCrop>
  <Company>[Licensee]</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Breach Reporting Procedures</dc:title>
  <dc:subject>[Licensee | AFSL number]</dc:subject>
  <dc:creator>Nicole Alexander</dc:creator>
  <cp:keywords/>
  <dc:description/>
  <cp:lastModifiedBy>Robyn Dawe</cp:lastModifiedBy>
  <cp:revision>463</cp:revision>
  <dcterms:created xsi:type="dcterms:W3CDTF">2025-10-10T00:12:00Z</dcterms:created>
  <dcterms:modified xsi:type="dcterms:W3CDTF">2025-11-12T02:07:00Z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0x0101008DE070155E90AE4CAD4CE7EC0AFEF2FC</vt:lpwstr>
  </property>
  <property fmtid="{D5CDD505-2E9C-101B-9397-08002B2CF9AE}" pid="3" name="MSIP_Label_ecfb5dfa-d105-4004-b638-f78298e117a7_Enabled">
    <vt:lpwstr>true</vt:lpwstr>
  </property>
  <property fmtid="{D5CDD505-2E9C-101B-9397-08002B2CF9AE}" pid="4" name="MSIP_Label_ecfb5dfa-d105-4004-b638-f78298e117a7_SetDate">
    <vt:lpwstr>2025-03-21T00:55:25Z</vt:lpwstr>
  </property>
  <property fmtid="{D5CDD505-2E9C-101B-9397-08002B2CF9AE}" pid="5" name="MSIP_Label_ecfb5dfa-d105-4004-b638-f78298e117a7_Method">
    <vt:lpwstr>Standard</vt:lpwstr>
  </property>
  <property fmtid="{D5CDD505-2E9C-101B-9397-08002B2CF9AE}" pid="6" name="MSIP_Label_ecfb5dfa-d105-4004-b638-f78298e117a7_Name">
    <vt:lpwstr>defa4170-0d19-0005-0004-bc88714345d2</vt:lpwstr>
  </property>
  <property fmtid="{D5CDD505-2E9C-101B-9397-08002B2CF9AE}" pid="7" name="MSIP_Label_ecfb5dfa-d105-4004-b638-f78298e117a7_SiteId">
    <vt:lpwstr>e087e7a1-13be-4c83-aab7-30cb630bc61b</vt:lpwstr>
  </property>
  <property fmtid="{D5CDD505-2E9C-101B-9397-08002B2CF9AE}" pid="8" name="MSIP_Label_ecfb5dfa-d105-4004-b638-f78298e117a7_ActionId">
    <vt:lpwstr>9eb53226-7a79-44b2-8eb5-25cf7bee1ad8</vt:lpwstr>
  </property>
  <property fmtid="{D5CDD505-2E9C-101B-9397-08002B2CF9AE}" pid="9" name="MSIP_Label_ecfb5dfa-d105-4004-b638-f78298e117a7_ContentBits">
    <vt:lpwstr>0</vt:lpwstr>
  </property>
  <property fmtid="{D5CDD505-2E9C-101B-9397-08002B2CF9AE}" pid="10" name="MSIP_Label_ecfb5dfa-d105-4004-b638-f78298e117a7_Tag">
    <vt:lpwstr>10, 3, 0, 1</vt:lpwstr>
  </property>
  <property fmtid="{D5CDD505-2E9C-101B-9397-08002B2CF9AE}" pid="11" name="MediaServiceImageTags">
    <vt:lpwstr/>
  </property>
  <property fmtid="{D5CDD505-2E9C-101B-9397-08002B2CF9AE}" pid="12" name="docLang">
    <vt:lpwstr>en</vt:lpwstr>
  </property>
</Properties>
</file>